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607A" w14:textId="77777777" w:rsidR="00A13B2E" w:rsidRPr="00B065CB" w:rsidRDefault="00A13B2E" w:rsidP="00A13B2E">
      <w:pPr>
        <w:spacing w:after="24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  <w:bookmarkStart w:id="0" w:name="_Hlk56090780"/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l</w:t>
      </w:r>
      <w:r w:rsidRPr="00B065CB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īguma par primārās veselības</w:t>
      </w:r>
      <w:r w:rsidRPr="00B065CB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br/>
        <w:t>aprūpes pakalpo</w:t>
      </w:r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jumu sniegšanu un apmaksu</w:t>
      </w:r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br/>
        <w:t>6.1.19</w:t>
      </w:r>
      <w:r w:rsidRPr="00B065CB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.punkts</w:t>
      </w:r>
    </w:p>
    <w:p w14:paraId="43D2F57C" w14:textId="77777777" w:rsidR="00A13B2E" w:rsidRDefault="00A13B2E" w:rsidP="00A13B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205C72" w14:textId="77777777" w:rsidR="00A13B2E" w:rsidRPr="00454913" w:rsidRDefault="00A13B2E" w:rsidP="00A13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13">
        <w:rPr>
          <w:rFonts w:ascii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hAnsi="Times New Roman" w:cs="Times New Roman"/>
          <w:sz w:val="24"/>
          <w:szCs w:val="24"/>
        </w:rPr>
        <w:t xml:space="preserve">primārās veselības aprūpes </w:t>
      </w:r>
      <w:r w:rsidRPr="00454913">
        <w:rPr>
          <w:rFonts w:ascii="Times New Roman" w:hAnsi="Times New Roman" w:cs="Times New Roman"/>
          <w:sz w:val="24"/>
          <w:szCs w:val="24"/>
        </w:rPr>
        <w:t xml:space="preserve">pakalpojumu sniegšanas un apmaksas kārtību </w:t>
      </w:r>
      <w:r w:rsidRPr="00454913">
        <w:rPr>
          <w:rStyle w:val="Strong"/>
          <w:rFonts w:ascii="Times New Roman" w:hAnsi="Times New Roman" w:cs="Times New Roman"/>
          <w:b w:val="0"/>
          <w:sz w:val="24"/>
          <w:szCs w:val="24"/>
        </w:rPr>
        <w:t>C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OVID</w:t>
      </w:r>
      <w:r w:rsidRPr="00454913">
        <w:rPr>
          <w:rStyle w:val="Strong"/>
          <w:rFonts w:ascii="Times New Roman" w:hAnsi="Times New Roman" w:cs="Times New Roman"/>
          <w:b w:val="0"/>
          <w:sz w:val="24"/>
          <w:szCs w:val="24"/>
        </w:rPr>
        <w:t>-19 pandēmijas laikā</w:t>
      </w:r>
    </w:p>
    <w:bookmarkEnd w:id="0"/>
    <w:p w14:paraId="67873AA8" w14:textId="77777777" w:rsidR="00A13B2E" w:rsidRPr="00454913" w:rsidRDefault="00A13B2E" w:rsidP="00A13B2E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9E2368B" w14:textId="40BABE19" w:rsidR="00A13B2E" w:rsidRPr="00102746" w:rsidRDefault="00A13B2E" w:rsidP="00A13B2E">
      <w:pPr>
        <w:pStyle w:val="ListParagraph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02746">
        <w:rPr>
          <w:rFonts w:ascii="Times New Roman" w:hAnsi="Times New Roman" w:cs="Times New Roman"/>
          <w:sz w:val="24"/>
          <w:szCs w:val="24"/>
        </w:rPr>
        <w:t>IZPILDĪTĀJS, organizējot un sniedzot personām primāros veselības aprūpes pakalpojumus COVID-19 pandēmijas laikā:</w:t>
      </w:r>
    </w:p>
    <w:p w14:paraId="06534179" w14:textId="77777777" w:rsidR="00A13B2E" w:rsidRPr="003B5DDC" w:rsidRDefault="00A13B2E" w:rsidP="00A13B2E">
      <w:pPr>
        <w:pStyle w:val="ListParagraph"/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B5DDC">
        <w:rPr>
          <w:rFonts w:ascii="Times New Roman" w:hAnsi="Times New Roman" w:cs="Times New Roman"/>
          <w:sz w:val="24"/>
          <w:szCs w:val="24"/>
        </w:rPr>
        <w:t xml:space="preserve">nodrošina pacientu veselības aprūpi tikai pēc iepriekšējā pieraksta t.sk. arī akūtā stundā; </w:t>
      </w:r>
    </w:p>
    <w:p w14:paraId="430383AB" w14:textId="2899A92E" w:rsidR="00A13B2E" w:rsidRPr="003B5DDC" w:rsidRDefault="00A13B2E" w:rsidP="00A13B2E">
      <w:pPr>
        <w:pStyle w:val="ListParagraph"/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B5DDC">
        <w:rPr>
          <w:rFonts w:ascii="Times New Roman" w:hAnsi="Times New Roman" w:cs="Times New Roman"/>
          <w:sz w:val="24"/>
          <w:szCs w:val="24"/>
        </w:rPr>
        <w:t xml:space="preserve">veicot pierakstu, noskaidro pacienta epidemioloģisko anamnēzi un sūdzības, izvērtē ambulatorā apmeklējuma vai mājas vizītes nepieciešamību un steidzamību un pieņem lēmumu par primārā veselības aprūpes pakalpojuma saņemšanas veidu un laiku - ambulatoro apmeklējumu, mājas vizīti vai </w:t>
      </w:r>
      <w:r w:rsidR="00904F4A">
        <w:rPr>
          <w:rFonts w:ascii="Times New Roman" w:hAnsi="Times New Roman" w:cs="Times New Roman"/>
          <w:sz w:val="24"/>
          <w:szCs w:val="24"/>
        </w:rPr>
        <w:t>attālināto</w:t>
      </w:r>
      <w:r w:rsidRPr="003B5DDC">
        <w:rPr>
          <w:rFonts w:ascii="Times New Roman" w:hAnsi="Times New Roman" w:cs="Times New Roman"/>
          <w:sz w:val="24"/>
          <w:szCs w:val="24"/>
        </w:rPr>
        <w:t xml:space="preserve"> konsultāciju;</w:t>
      </w:r>
    </w:p>
    <w:p w14:paraId="78DF003F" w14:textId="73C4E178" w:rsidR="00A13B2E" w:rsidRPr="003B5DDC" w:rsidRDefault="00A13B2E" w:rsidP="00A13B2E">
      <w:pPr>
        <w:pStyle w:val="ListParagraph"/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B5DDC">
        <w:rPr>
          <w:rFonts w:ascii="Times New Roman" w:hAnsi="Times New Roman" w:cs="Times New Roman"/>
          <w:sz w:val="24"/>
          <w:szCs w:val="24"/>
        </w:rPr>
        <w:t>pierakstot pacientu uz ambulatoro apmeklējumu, informē pacientu, ka, lai mazinātu pacientu savstarpējo kontaktu iespējas, ierašanās pie IZPILDĪTĀJA notiek norādītājā pieraksta laikā</w:t>
      </w:r>
      <w:r w:rsidR="00904F4A">
        <w:rPr>
          <w:rFonts w:ascii="Times New Roman" w:hAnsi="Times New Roman" w:cs="Times New Roman"/>
          <w:sz w:val="24"/>
          <w:szCs w:val="24"/>
        </w:rPr>
        <w:t>;</w:t>
      </w:r>
      <w:r w:rsidRPr="003B5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97BE2" w14:textId="77777777" w:rsidR="00A13B2E" w:rsidRPr="003B5DDC" w:rsidRDefault="00A13B2E" w:rsidP="00A13B2E">
      <w:pPr>
        <w:pStyle w:val="ListParagraph"/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B5DDC">
        <w:rPr>
          <w:rFonts w:ascii="Times New Roman" w:hAnsi="Times New Roman" w:cs="Times New Roman"/>
          <w:sz w:val="24"/>
          <w:szCs w:val="24"/>
        </w:rPr>
        <w:t xml:space="preserve">nepieciešamības gadījumā </w:t>
      </w:r>
      <w:r w:rsidRPr="003B5DDC">
        <w:rPr>
          <w:rFonts w:ascii="Times New Roman" w:hAnsi="Times New Roman" w:cs="Times New Roman"/>
          <w:bCs/>
          <w:sz w:val="24"/>
          <w:szCs w:val="24"/>
        </w:rPr>
        <w:t>pārceļ pacientu profilaktiskās apskates;</w:t>
      </w:r>
    </w:p>
    <w:p w14:paraId="52B23E7A" w14:textId="77777777" w:rsidR="00A13B2E" w:rsidRPr="00102746" w:rsidRDefault="00A13B2E" w:rsidP="00A13B2E">
      <w:pPr>
        <w:pStyle w:val="ListParagraph"/>
        <w:numPr>
          <w:ilvl w:val="1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02746">
        <w:rPr>
          <w:rFonts w:ascii="Times New Roman" w:hAnsi="Times New Roman" w:cs="Times New Roman"/>
          <w:sz w:val="24"/>
          <w:szCs w:val="24"/>
        </w:rPr>
        <w:t>pie ieejas IZPILDĪTĀJA telpās publiski pieejamā vietā izvieto skaidri salasāmu, aktuālu un pilnīgu informāciju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13C310" w14:textId="3F3DA7F2" w:rsidR="00A13B2E" w:rsidRPr="00440BA4" w:rsidRDefault="00A13B2E" w:rsidP="00A13B2E">
      <w:pPr>
        <w:pStyle w:val="ListParagraph"/>
        <w:numPr>
          <w:ilvl w:val="2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40BA4">
        <w:rPr>
          <w:rFonts w:ascii="Times New Roman" w:hAnsi="Times New Roman" w:cs="Times New Roman"/>
          <w:sz w:val="24"/>
          <w:szCs w:val="24"/>
        </w:rPr>
        <w:t>par IZPILDĪTĀJA darba režīmu COVID-19 pandēmijas laikā, t.sk. norādot, ka pacientu pieņemšana notiek tikai pēc iepriekšējā pieraksta;</w:t>
      </w:r>
    </w:p>
    <w:p w14:paraId="602EF023" w14:textId="77777777" w:rsidR="00A13B2E" w:rsidRPr="00440BA4" w:rsidRDefault="00A13B2E" w:rsidP="00A13B2E">
      <w:pPr>
        <w:pStyle w:val="ListParagraph"/>
        <w:numPr>
          <w:ilvl w:val="2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40BA4">
        <w:rPr>
          <w:rFonts w:ascii="Times New Roman" w:hAnsi="Times New Roman" w:cs="Times New Roman"/>
          <w:sz w:val="24"/>
          <w:szCs w:val="24"/>
        </w:rPr>
        <w:t>Slimību profilakses un kontroles centra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BA4">
        <w:rPr>
          <w:rFonts w:ascii="Times New Roman" w:hAnsi="Times New Roman" w:cs="Times New Roman"/>
          <w:sz w:val="24"/>
          <w:szCs w:val="24"/>
        </w:rPr>
        <w:t>tālruņa numuru iedzīvotājiem, kur pacients var saņemt papildus informāciju par COVID-19;</w:t>
      </w:r>
    </w:p>
    <w:p w14:paraId="03BF58D1" w14:textId="3640F0AC" w:rsidR="00A13B2E" w:rsidRPr="00440BA4" w:rsidRDefault="00A13B2E" w:rsidP="00A13B2E">
      <w:pPr>
        <w:pStyle w:val="ListParagraph"/>
        <w:numPr>
          <w:ilvl w:val="2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40BA4">
        <w:rPr>
          <w:rFonts w:ascii="Times New Roman" w:hAnsi="Times New Roman" w:cs="Times New Roman"/>
          <w:sz w:val="24"/>
          <w:szCs w:val="24"/>
        </w:rPr>
        <w:t>citu aktuālo informāciju par veselības aprūpes pakalpojumu saņemšanas kārtību</w:t>
      </w:r>
      <w:r w:rsidR="00904F4A">
        <w:rPr>
          <w:rFonts w:ascii="Times New Roman" w:hAnsi="Times New Roman" w:cs="Times New Roman"/>
          <w:sz w:val="24"/>
          <w:szCs w:val="24"/>
        </w:rPr>
        <w:t xml:space="preserve"> </w:t>
      </w:r>
      <w:r w:rsidRPr="00440BA4">
        <w:rPr>
          <w:rFonts w:ascii="Times New Roman" w:hAnsi="Times New Roman" w:cs="Times New Roman"/>
          <w:sz w:val="24"/>
          <w:szCs w:val="24"/>
        </w:rPr>
        <w:t>COVID-19 pandēmijas laikā, kuru sagatavo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BA4">
        <w:rPr>
          <w:rFonts w:ascii="Times New Roman" w:hAnsi="Times New Roman" w:cs="Times New Roman"/>
          <w:sz w:val="24"/>
          <w:szCs w:val="24"/>
        </w:rPr>
        <w:t xml:space="preserve">DIENESTS un </w:t>
      </w:r>
      <w:proofErr w:type="spellStart"/>
      <w:r w:rsidRPr="00440BA4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Pr="00440BA4">
        <w:rPr>
          <w:rFonts w:ascii="Times New Roman" w:hAnsi="Times New Roman" w:cs="Times New Roman"/>
          <w:sz w:val="24"/>
          <w:szCs w:val="24"/>
        </w:rPr>
        <w:t xml:space="preserve"> uz IZPILDĪTĀJA elektronisko adresi.</w:t>
      </w:r>
    </w:p>
    <w:p w14:paraId="5EBF0531" w14:textId="5E616DB5" w:rsidR="00A13B2E" w:rsidRDefault="00A13B2E" w:rsidP="00A13B2E">
      <w:pPr>
        <w:pStyle w:val="ListParagraph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IZPILDĪTĀJS</w:t>
      </w:r>
      <w:r w:rsidRPr="003B5DDC">
        <w:rPr>
          <w:rFonts w:ascii="Times New Roman" w:hAnsi="Times New Roman" w:cs="Times New Roman"/>
          <w:bCs/>
          <w:sz w:val="24"/>
          <w:szCs w:val="24"/>
        </w:rPr>
        <w:t xml:space="preserve"> neiekasē pacienta līdzmaksājumu no personas</w:t>
      </w:r>
      <w:r w:rsidRPr="003B5DDC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1"/>
      </w:r>
      <w:r w:rsidRPr="003B5DDC">
        <w:rPr>
          <w:rFonts w:ascii="Times New Roman" w:hAnsi="Times New Roman" w:cs="Times New Roman"/>
          <w:bCs/>
          <w:sz w:val="24"/>
          <w:szCs w:val="24"/>
        </w:rPr>
        <w:t xml:space="preserve">, kas saņem primāros veselības aprūpes pakalpojumus </w:t>
      </w:r>
      <w:r w:rsidR="00E608EA">
        <w:rPr>
          <w:rFonts w:ascii="Times New Roman" w:hAnsi="Times New Roman" w:cs="Times New Roman"/>
          <w:bCs/>
          <w:sz w:val="24"/>
          <w:szCs w:val="24"/>
        </w:rPr>
        <w:t xml:space="preserve">un </w:t>
      </w:r>
      <w:r w:rsidRPr="008F6C91">
        <w:rPr>
          <w:rFonts w:ascii="Times New Roman" w:hAnsi="Times New Roman" w:cs="Times New Roman"/>
          <w:bCs/>
          <w:sz w:val="24"/>
          <w:szCs w:val="24"/>
        </w:rPr>
        <w:t>kurām ir apstiprināts saslimšanas gadījums ar COVID-19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371CA3" w14:textId="453464C2" w:rsidR="00A13B2E" w:rsidRPr="003B5DDC" w:rsidRDefault="00A13B2E" w:rsidP="00A13B2E">
      <w:pPr>
        <w:pStyle w:val="ListParagraph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IZPILDĪTĀJS, lai saņemtu pacienta līdzmaksājumu kompensāciju par šī dokumenta 2.punktā minētiem pacientiem </w:t>
      </w:r>
      <w:r w:rsidRPr="003B5DDC">
        <w:rPr>
          <w:rFonts w:ascii="Times New Roman" w:eastAsia="Calibri" w:hAnsi="Times New Roman" w:cs="Times New Roman"/>
          <w:sz w:val="24"/>
          <w:szCs w:val="24"/>
        </w:rPr>
        <w:t>veidlapā Nr.024/u</w:t>
      </w:r>
      <w:r w:rsidRPr="003B5DDC">
        <w:rPr>
          <w:rFonts w:ascii="Times New Roman" w:eastAsia="Calibri" w:hAnsi="Times New Roman" w:cs="Times New Roman"/>
          <w:b/>
          <w:sz w:val="24"/>
          <w:szCs w:val="24"/>
        </w:rPr>
        <w:t xml:space="preserve"> „</w:t>
      </w:r>
      <w:r w:rsidRPr="003B5DDC">
        <w:rPr>
          <w:rFonts w:ascii="Times New Roman" w:eastAsia="Calibri" w:hAnsi="Times New Roman" w:cs="Times New Roman"/>
          <w:sz w:val="24"/>
          <w:szCs w:val="24"/>
        </w:rPr>
        <w:t>Ambulatorā pacienta talonā” norāda pacientu grupu –</w:t>
      </w:r>
      <w:r w:rsidRPr="003B5DDC">
        <w:rPr>
          <w:color w:val="000000"/>
        </w:rPr>
        <w:t xml:space="preserve"> “</w:t>
      </w:r>
      <w:r w:rsidRPr="003B5DD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C19</w:t>
      </w:r>
      <w:r w:rsidRPr="003B5DD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20C76" w:rsidRPr="00320C76">
        <w:rPr>
          <w:rFonts w:ascii="Times New Roman" w:hAnsi="Times New Roman" w:cs="Times New Roman"/>
          <w:color w:val="000000"/>
          <w:sz w:val="24"/>
          <w:szCs w:val="24"/>
        </w:rPr>
        <w:t>Persona, kurai apstiprināts saslimšanas gadījums ar koronavīrusu (COVID-19)</w:t>
      </w:r>
      <w:r w:rsidRPr="003B5DDC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6443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 atbilstošo SSK-10 klasifikatoram diagnozi U07.1, U07.2.</w:t>
      </w:r>
    </w:p>
    <w:p w14:paraId="1A529260" w14:textId="78FE3271" w:rsidR="00A13B2E" w:rsidRDefault="00A13B2E" w:rsidP="00A13B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913">
        <w:rPr>
          <w:rFonts w:ascii="Times New Roman" w:hAnsi="Times New Roman" w:cs="Times New Roman"/>
          <w:sz w:val="24"/>
          <w:szCs w:val="24"/>
        </w:rPr>
        <w:t xml:space="preserve">DIENESTS apmaksā IZPILDĪTĀJAM </w:t>
      </w:r>
      <w:r>
        <w:rPr>
          <w:rFonts w:ascii="Times New Roman" w:hAnsi="Times New Roman" w:cs="Times New Roman"/>
          <w:sz w:val="24"/>
          <w:szCs w:val="24"/>
        </w:rPr>
        <w:t xml:space="preserve">pacientiem nodrošinātās ģimenes ārsta </w:t>
      </w:r>
      <w:r w:rsidR="00766849" w:rsidRPr="00766849">
        <w:rPr>
          <w:rFonts w:ascii="Times New Roman" w:hAnsi="Times New Roman" w:cs="Times New Roman"/>
          <w:sz w:val="24"/>
          <w:szCs w:val="24"/>
        </w:rPr>
        <w:t>attālinātā</w:t>
      </w:r>
      <w:r w:rsidR="00766849">
        <w:rPr>
          <w:rFonts w:ascii="Times New Roman" w:hAnsi="Times New Roman" w:cs="Times New Roman"/>
          <w:sz w:val="24"/>
          <w:szCs w:val="24"/>
        </w:rPr>
        <w:t>s</w:t>
      </w:r>
      <w:r w:rsidR="00766849" w:rsidRPr="00766849">
        <w:rPr>
          <w:rFonts w:ascii="Times New Roman" w:hAnsi="Times New Roman" w:cs="Times New Roman"/>
          <w:sz w:val="24"/>
          <w:szCs w:val="24"/>
        </w:rPr>
        <w:t xml:space="preserve"> </w:t>
      </w:r>
      <w:r w:rsidRPr="00766849">
        <w:rPr>
          <w:rFonts w:ascii="Times New Roman" w:hAnsi="Times New Roman" w:cs="Times New Roman"/>
          <w:sz w:val="24"/>
          <w:szCs w:val="24"/>
        </w:rPr>
        <w:t xml:space="preserve">konsultācijas </w:t>
      </w:r>
      <w:r w:rsidRPr="00454913">
        <w:rPr>
          <w:rFonts w:ascii="Times New Roman" w:hAnsi="Times New Roman" w:cs="Times New Roman"/>
          <w:sz w:val="24"/>
          <w:szCs w:val="24"/>
        </w:rPr>
        <w:t>par pacienta tālāko ārstēšanas taktiku.</w:t>
      </w:r>
    </w:p>
    <w:p w14:paraId="6CC63BB2" w14:textId="2B0529C5" w:rsidR="00A13B2E" w:rsidRPr="00320B31" w:rsidRDefault="00A13B2E" w:rsidP="00A13B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IZPILDĪTĀJS nodrošina, ka pirms attālinātas konsultācijas uzsākšanas persona</w:t>
      </w:r>
      <w:r>
        <w:rPr>
          <w:rFonts w:ascii="Times New Roman" w:hAnsi="Times New Roman" w:cs="Times New Roman"/>
          <w:sz w:val="24"/>
          <w:szCs w:val="24"/>
        </w:rPr>
        <w:t xml:space="preserve"> tiek </w:t>
      </w:r>
      <w:r w:rsidRPr="00B113A2">
        <w:rPr>
          <w:rFonts w:ascii="Times New Roman" w:hAnsi="Times New Roman" w:cs="Times New Roman"/>
          <w:sz w:val="24"/>
          <w:szCs w:val="24"/>
        </w:rPr>
        <w:t>identificēta (noskaidrots vārds, uzvārds, personas kods)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6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izmantojot ārstam pieejamos informāciju tehnoloģiju resursus vai citus pieejamos informācijas resursus</w:t>
      </w:r>
      <w:r w:rsidR="005E61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1D1">
        <w:rPr>
          <w:rFonts w:ascii="Times New Roman" w:hAnsi="Times New Roman" w:cs="Times New Roman"/>
          <w:sz w:val="24"/>
          <w:szCs w:val="24"/>
        </w:rPr>
        <w:t>t.sk.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>mutisk</w:t>
      </w:r>
      <w:r>
        <w:rPr>
          <w:rFonts w:ascii="Times New Roman" w:hAnsi="Times New Roman" w:cs="Times New Roman"/>
          <w:sz w:val="24"/>
          <w:szCs w:val="24"/>
        </w:rPr>
        <w:t xml:space="preserve">o identifikāciju, uzdodot kontroles jautājumus. </w:t>
      </w:r>
    </w:p>
    <w:p w14:paraId="5551673D" w14:textId="60CD9C56" w:rsidR="00A13B2E" w:rsidRDefault="00A13B2E" w:rsidP="002577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454913">
        <w:rPr>
          <w:rFonts w:ascii="Times New Roman" w:hAnsi="Times New Roman" w:cs="Times New Roman"/>
          <w:sz w:val="24"/>
          <w:szCs w:val="24"/>
        </w:rPr>
        <w:lastRenderedPageBreak/>
        <w:t xml:space="preserve">IZPILDĪTĀJS par </w:t>
      </w:r>
      <w:r>
        <w:rPr>
          <w:rFonts w:ascii="Times New Roman" w:hAnsi="Times New Roman" w:cs="Times New Roman"/>
          <w:sz w:val="24"/>
          <w:szCs w:val="24"/>
        </w:rPr>
        <w:t xml:space="preserve">šī </w:t>
      </w:r>
      <w:r w:rsidRPr="00766849">
        <w:rPr>
          <w:rFonts w:ascii="Times New Roman" w:hAnsi="Times New Roman" w:cs="Times New Roman"/>
          <w:sz w:val="24"/>
          <w:szCs w:val="24"/>
        </w:rPr>
        <w:t xml:space="preserve">dokumenta </w:t>
      </w:r>
      <w:r w:rsidR="00953F88">
        <w:rPr>
          <w:rFonts w:ascii="Times New Roman" w:hAnsi="Times New Roman" w:cs="Times New Roman"/>
          <w:sz w:val="24"/>
          <w:szCs w:val="24"/>
        </w:rPr>
        <w:t>4</w:t>
      </w:r>
      <w:r w:rsidRPr="00766849">
        <w:rPr>
          <w:rFonts w:ascii="Times New Roman" w:hAnsi="Times New Roman" w:cs="Times New Roman"/>
          <w:sz w:val="24"/>
          <w:szCs w:val="24"/>
        </w:rPr>
        <w:t xml:space="preserve">.punktā </w:t>
      </w:r>
      <w:r w:rsidRPr="00454913">
        <w:rPr>
          <w:rFonts w:ascii="Times New Roman" w:hAnsi="Times New Roman" w:cs="Times New Roman"/>
          <w:sz w:val="24"/>
          <w:szCs w:val="24"/>
        </w:rPr>
        <w:t xml:space="preserve">veikto </w:t>
      </w:r>
      <w:r w:rsidR="00766849">
        <w:rPr>
          <w:rFonts w:ascii="Times New Roman" w:hAnsi="Times New Roman" w:cs="Times New Roman"/>
          <w:sz w:val="24"/>
          <w:szCs w:val="24"/>
        </w:rPr>
        <w:t xml:space="preserve">attālināto </w:t>
      </w:r>
      <w:r w:rsidRPr="00454913">
        <w:rPr>
          <w:rFonts w:ascii="Times New Roman" w:hAnsi="Times New Roman" w:cs="Times New Roman"/>
          <w:sz w:val="24"/>
          <w:szCs w:val="24"/>
        </w:rPr>
        <w:t>konsultāciju</w:t>
      </w:r>
      <w:r w:rsidRPr="00104B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4913">
        <w:rPr>
          <w:rFonts w:ascii="Times New Roman" w:eastAsia="Calibri" w:hAnsi="Times New Roman" w:cs="Times New Roman"/>
          <w:sz w:val="24"/>
          <w:szCs w:val="24"/>
        </w:rPr>
        <w:t>veidlapā Nr.024/u</w:t>
      </w:r>
      <w:r w:rsidRPr="00454913">
        <w:rPr>
          <w:rFonts w:ascii="Times New Roman" w:eastAsia="Calibri" w:hAnsi="Times New Roman" w:cs="Times New Roman"/>
          <w:b/>
          <w:sz w:val="24"/>
          <w:szCs w:val="24"/>
        </w:rPr>
        <w:t xml:space="preserve"> „</w:t>
      </w:r>
      <w:r w:rsidRPr="00454913">
        <w:rPr>
          <w:rFonts w:ascii="Times New Roman" w:eastAsia="Calibri" w:hAnsi="Times New Roman" w:cs="Times New Roman"/>
          <w:sz w:val="24"/>
          <w:szCs w:val="24"/>
        </w:rPr>
        <w:t>Ambulatorā pacienta talonā”</w:t>
      </w:r>
      <w:r w:rsidRPr="00454913">
        <w:rPr>
          <w:rFonts w:ascii="Times New Roman" w:hAnsi="Times New Roman" w:cs="Times New Roman"/>
          <w:sz w:val="24"/>
          <w:szCs w:val="24"/>
        </w:rPr>
        <w:t xml:space="preserve"> norāda manipulācijas</w:t>
      </w:r>
      <w:r w:rsidR="00320C76" w:rsidRPr="00320C76">
        <w:t xml:space="preserve"> </w:t>
      </w:r>
      <w:bookmarkStart w:id="1" w:name="_Hlk79612599"/>
      <w:r w:rsidR="00320C76" w:rsidRPr="00320C76">
        <w:rPr>
          <w:rFonts w:ascii="Times New Roman" w:eastAsia="Calibri" w:hAnsi="Times New Roman" w:cs="Times New Roman"/>
          <w:sz w:val="24"/>
          <w:szCs w:val="24"/>
        </w:rPr>
        <w:t>atbilstoši manipulāciju sarakstā iekļauto manipulāciju tarifiem</w:t>
      </w:r>
      <w:r w:rsidR="00320C76">
        <w:rPr>
          <w:rFonts w:ascii="Times New Roman" w:eastAsia="Calibri" w:hAnsi="Times New Roman" w:cs="Times New Roman"/>
          <w:sz w:val="24"/>
          <w:szCs w:val="24"/>
        </w:rPr>
        <w:t xml:space="preserve"> un apmaksas nosacījumiem.</w:t>
      </w:r>
      <w:bookmarkEnd w:id="1"/>
    </w:p>
    <w:p w14:paraId="2EF269C0" w14:textId="62CC2972" w:rsidR="00A13B2E" w:rsidRDefault="00A13B2E" w:rsidP="00A13B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Šī dokumenta 6.punktā </w:t>
      </w:r>
      <w:r w:rsidR="002577D1">
        <w:rPr>
          <w:rFonts w:ascii="Times New Roman" w:hAnsi="Times New Roman" w:cs="Times New Roman"/>
          <w:sz w:val="24"/>
          <w:szCs w:val="24"/>
          <w:lang w:eastAsia="lv-LV"/>
        </w:rPr>
        <w:t>minētas</w:t>
      </w:r>
      <w:r w:rsidR="002577D1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manipulācijas tiek apmaksātas no 18.03.2020.</w:t>
      </w:r>
      <w:r w:rsidR="00F10CC5" w:rsidRPr="00F10CC5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F10CC5">
        <w:rPr>
          <w:rFonts w:ascii="Times New Roman" w:hAnsi="Times New Roman" w:cs="Times New Roman"/>
          <w:sz w:val="24"/>
          <w:szCs w:val="24"/>
          <w:lang w:eastAsia="lv-LV"/>
        </w:rPr>
        <w:t>līdz brīdim, par ko Dienests informēs atsevišķi.</w:t>
      </w:r>
    </w:p>
    <w:p w14:paraId="24CFB561" w14:textId="0C5AF4F9" w:rsidR="00A13B2E" w:rsidRDefault="00A13B2E" w:rsidP="00A13B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Par šī dokumenta </w:t>
      </w:r>
      <w:r w:rsidR="00F10CC5">
        <w:rPr>
          <w:rFonts w:ascii="Times New Roman" w:hAnsi="Times New Roman" w:cs="Times New Roman"/>
          <w:sz w:val="24"/>
          <w:szCs w:val="24"/>
          <w:lang w:eastAsia="lv-LV"/>
        </w:rPr>
        <w:t>4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.punktā norādītām </w:t>
      </w:r>
      <w:r w:rsidR="00766849">
        <w:rPr>
          <w:rFonts w:ascii="Times New Roman" w:hAnsi="Times New Roman" w:cs="Times New Roman"/>
          <w:sz w:val="24"/>
          <w:szCs w:val="24"/>
          <w:lang w:eastAsia="lv-LV"/>
        </w:rPr>
        <w:t>attālinātām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konsultācijām IZPILDĪTĀJS medicīniskā dokumentācijā veic ierakstu ar sekojošu informāciju:</w:t>
      </w:r>
    </w:p>
    <w:p w14:paraId="4F6E20C8" w14:textId="77777777" w:rsidR="00A13B2E" w:rsidRPr="00BD1DEC" w:rsidRDefault="00A13B2E" w:rsidP="00A13B2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konsultācijas iniciators – ģimenes ārsts, pacients vai tā likumiskais pārstāvis; </w:t>
      </w:r>
    </w:p>
    <w:p w14:paraId="4EEC6AA1" w14:textId="77777777" w:rsidR="00A13B2E" w:rsidRPr="00BD1DEC" w:rsidRDefault="00A13B2E" w:rsidP="00A13B2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 un konsultācijas sākuma (pulksteņa) laiks;</w:t>
      </w:r>
    </w:p>
    <w:p w14:paraId="5EC37163" w14:textId="77777777" w:rsidR="00A13B2E" w:rsidRPr="00BD1DEC" w:rsidRDefault="00A13B2E" w:rsidP="00A13B2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īss konsultācijas apraksts – risināmā problēma, pacienta sūdzības un anamnēze, slēdziens, tālāka ārstēšanas taktika, rekomendācijas;</w:t>
      </w:r>
    </w:p>
    <w:p w14:paraId="0AE1C713" w14:textId="77777777" w:rsidR="00A13B2E" w:rsidRDefault="00A13B2E" w:rsidP="00A13B2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ārsta vārds, uzvārds, paraksts.</w:t>
      </w:r>
    </w:p>
    <w:p w14:paraId="129ECACB" w14:textId="77777777" w:rsidR="00A13B2E" w:rsidRPr="00F33784" w:rsidRDefault="00A13B2E" w:rsidP="00A13B2E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784">
        <w:rPr>
          <w:rFonts w:ascii="Times New Roman" w:hAnsi="Times New Roman" w:cs="Times New Roman"/>
          <w:sz w:val="24"/>
          <w:szCs w:val="24"/>
        </w:rPr>
        <w:t>IZPILDĪTĀJS nodrošina saziņu ar pacientiem, pie kuriem Neatliekamās medicīniskās palīdzības dienests (turpmāk - NMPD) nav veicis izbraukumu, jo pacienta sūdzības nav bijuš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33784">
        <w:rPr>
          <w:rFonts w:ascii="Times New Roman" w:hAnsi="Times New Roman" w:cs="Times New Roman"/>
          <w:sz w:val="24"/>
          <w:szCs w:val="24"/>
        </w:rPr>
        <w:t>s dzīvībai kritiskas un IZPILDĪTĀJS par šo gadījumu ir saņēmis informāciju no NMPD. Ģimenes ārsts pēc saziņas ar pacientu var lemt par mājas vizītes nepieciešamību.</w:t>
      </w:r>
    </w:p>
    <w:p w14:paraId="70D68BA2" w14:textId="77777777" w:rsidR="00A13B2E" w:rsidRPr="00F33784" w:rsidRDefault="00A13B2E" w:rsidP="00A13B2E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784">
        <w:rPr>
          <w:rFonts w:ascii="Times New Roman" w:hAnsi="Times New Roman" w:cs="Times New Roman"/>
          <w:sz w:val="24"/>
          <w:szCs w:val="24"/>
        </w:rPr>
        <w:t>DIENESTS apmaksā IZPILDĪTĀJAM šī dokumenta 9.punkta kārtībā pacientiem nodrošinātās mājas vizītes. Par šīm vizītēm no personas neiekasē pacienta līdzmaksājumu.</w:t>
      </w:r>
    </w:p>
    <w:p w14:paraId="32699682" w14:textId="79453834" w:rsidR="00A13B2E" w:rsidRPr="00320C76" w:rsidRDefault="00A13B2E" w:rsidP="00DF37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C76">
        <w:rPr>
          <w:rFonts w:ascii="Times New Roman" w:hAnsi="Times New Roman" w:cs="Times New Roman"/>
          <w:sz w:val="24"/>
          <w:szCs w:val="24"/>
        </w:rPr>
        <w:t xml:space="preserve">IZPILDĪTĀJS par šī dokumenta 10.punktā minēto veikto mājas vizīti </w:t>
      </w:r>
      <w:r w:rsidRPr="00320C76">
        <w:rPr>
          <w:rFonts w:ascii="Times New Roman" w:eastAsia="Calibri" w:hAnsi="Times New Roman" w:cs="Times New Roman"/>
          <w:sz w:val="24"/>
          <w:szCs w:val="24"/>
        </w:rPr>
        <w:t>veidlapā Nr.024/u</w:t>
      </w:r>
      <w:r w:rsidRPr="00320C76">
        <w:rPr>
          <w:rFonts w:ascii="Times New Roman" w:eastAsia="Calibri" w:hAnsi="Times New Roman" w:cs="Times New Roman"/>
          <w:b/>
          <w:sz w:val="24"/>
          <w:szCs w:val="24"/>
        </w:rPr>
        <w:t xml:space="preserve"> „</w:t>
      </w:r>
      <w:r w:rsidRPr="00320C76">
        <w:rPr>
          <w:rFonts w:ascii="Times New Roman" w:eastAsia="Calibri" w:hAnsi="Times New Roman" w:cs="Times New Roman"/>
          <w:sz w:val="24"/>
          <w:szCs w:val="24"/>
        </w:rPr>
        <w:t xml:space="preserve">Ambulatorā pacienta talonā” norāda manipulāciju </w:t>
      </w:r>
      <w:r w:rsidR="00320C76" w:rsidRPr="00320C76">
        <w:rPr>
          <w:rFonts w:ascii="Times New Roman" w:eastAsia="Calibri" w:hAnsi="Times New Roman" w:cs="Times New Roman"/>
          <w:sz w:val="24"/>
          <w:szCs w:val="24"/>
        </w:rPr>
        <w:t>atbilstoši manipulāciju sarakstā iekļauto manipulāciju tarifiem un apmaksas nosacījumiem.</w:t>
      </w:r>
      <w:r w:rsidR="00E00D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0C76">
        <w:rPr>
          <w:rFonts w:ascii="Times New Roman" w:hAnsi="Times New Roman" w:cs="Times New Roman"/>
          <w:sz w:val="24"/>
          <w:szCs w:val="24"/>
        </w:rPr>
        <w:t xml:space="preserve">Lai saņemtu pacienta līdzmaksājuma kompensāciju par šī dokumenta 10.punkta gadījumos veiktām mājas vizītēm, IZPILDĪTĀJS veidlapā Nr.024/u „Ambulatorā pacienta talonā” norāda pacientu grupu – “10 - </w:t>
      </w:r>
      <w:r w:rsidR="00070013" w:rsidRPr="00320C76">
        <w:rPr>
          <w:rFonts w:ascii="Times New Roman" w:hAnsi="Times New Roman" w:cs="Times New Roman"/>
          <w:sz w:val="24"/>
          <w:szCs w:val="24"/>
        </w:rPr>
        <w:t>Pacienti ar hroniskas slimības paasinājumu, pie kuriem ģimenes ārsts veic mājas vizīti neatliekamās medicīniskās palīdzības brigādes atteikuma dēļ</w:t>
      </w:r>
      <w:r w:rsidRPr="00320C76">
        <w:rPr>
          <w:rFonts w:ascii="Times New Roman" w:hAnsi="Times New Roman" w:cs="Times New Roman"/>
          <w:sz w:val="24"/>
          <w:szCs w:val="24"/>
        </w:rPr>
        <w:t xml:space="preserve">”, </w:t>
      </w:r>
    </w:p>
    <w:p w14:paraId="17BFB5D9" w14:textId="5E965C7F" w:rsidR="00A13B2E" w:rsidRDefault="00A13B2E" w:rsidP="00A13B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Šī dokumenta 1</w:t>
      </w:r>
      <w:r w:rsidR="003561D2">
        <w:rPr>
          <w:rFonts w:ascii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.punktā </w:t>
      </w:r>
      <w:r w:rsidR="002577D1">
        <w:rPr>
          <w:rFonts w:ascii="Times New Roman" w:hAnsi="Times New Roman" w:cs="Times New Roman"/>
          <w:sz w:val="24"/>
          <w:szCs w:val="24"/>
          <w:lang w:eastAsia="lv-LV"/>
        </w:rPr>
        <w:t>minēto</w:t>
      </w:r>
      <w:r w:rsidR="002577D1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manipulāciju apmaksā no 19.03.2020. līdz brīdim, par ko Dienests informēs atsevišķi.</w:t>
      </w:r>
    </w:p>
    <w:p w14:paraId="30AFF749" w14:textId="77777777" w:rsidR="00A13B2E" w:rsidRDefault="00A13B2E" w:rsidP="00A13B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913">
        <w:rPr>
          <w:rFonts w:ascii="Times New Roman" w:hAnsi="Times New Roman" w:cs="Times New Roman"/>
          <w:sz w:val="24"/>
          <w:szCs w:val="24"/>
        </w:rPr>
        <w:t xml:space="preserve">DIENESTS apmaksā IZPILDĪTĀJAM </w:t>
      </w:r>
      <w:r>
        <w:rPr>
          <w:rFonts w:ascii="Times New Roman" w:hAnsi="Times New Roman" w:cs="Times New Roman"/>
          <w:sz w:val="24"/>
          <w:szCs w:val="24"/>
        </w:rPr>
        <w:t>attālinātas konsultācijas</w:t>
      </w:r>
      <w:r w:rsidRPr="00454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 ārstiem speciālistiem, t.sk. par pacientu darbnespējas, kas ilgst 30 dienas, turpināšanu.</w:t>
      </w:r>
    </w:p>
    <w:p w14:paraId="69AE80DC" w14:textId="5B3915E3" w:rsidR="00A13B2E" w:rsidRPr="004B5E88" w:rsidRDefault="00A13B2E" w:rsidP="00B910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E88">
        <w:rPr>
          <w:rFonts w:ascii="Times New Roman" w:hAnsi="Times New Roman" w:cs="Times New Roman"/>
          <w:sz w:val="24"/>
          <w:szCs w:val="24"/>
        </w:rPr>
        <w:t xml:space="preserve">IZPILDĪTĀJS par </w:t>
      </w:r>
      <w:r>
        <w:rPr>
          <w:rFonts w:ascii="Times New Roman" w:hAnsi="Times New Roman" w:cs="Times New Roman"/>
          <w:sz w:val="24"/>
          <w:szCs w:val="24"/>
        </w:rPr>
        <w:t xml:space="preserve">šī dokumenta </w:t>
      </w:r>
      <w:r w:rsidRPr="004B5E88">
        <w:rPr>
          <w:rFonts w:ascii="Times New Roman" w:hAnsi="Times New Roman" w:cs="Times New Roman"/>
          <w:sz w:val="24"/>
          <w:szCs w:val="24"/>
        </w:rPr>
        <w:t>1</w:t>
      </w:r>
      <w:r w:rsidR="003561D2">
        <w:rPr>
          <w:rFonts w:ascii="Times New Roman" w:hAnsi="Times New Roman" w:cs="Times New Roman"/>
          <w:sz w:val="24"/>
          <w:szCs w:val="24"/>
        </w:rPr>
        <w:t>3</w:t>
      </w:r>
      <w:r w:rsidRPr="004B5E88">
        <w:rPr>
          <w:rFonts w:ascii="Times New Roman" w:hAnsi="Times New Roman" w:cs="Times New Roman"/>
          <w:sz w:val="24"/>
          <w:szCs w:val="24"/>
        </w:rPr>
        <w:t xml:space="preserve">.punktā veikto </w:t>
      </w:r>
      <w:r>
        <w:rPr>
          <w:rFonts w:ascii="Times New Roman" w:hAnsi="Times New Roman" w:cs="Times New Roman"/>
          <w:sz w:val="24"/>
          <w:szCs w:val="24"/>
        </w:rPr>
        <w:t xml:space="preserve">attālināto </w:t>
      </w:r>
      <w:r w:rsidRPr="004B5E88">
        <w:rPr>
          <w:rFonts w:ascii="Times New Roman" w:hAnsi="Times New Roman" w:cs="Times New Roman"/>
          <w:sz w:val="24"/>
          <w:szCs w:val="24"/>
        </w:rPr>
        <w:t>konsultāciju</w:t>
      </w:r>
      <w:r w:rsidRPr="004B5E88">
        <w:rPr>
          <w:rFonts w:ascii="Times New Roman" w:eastAsia="Calibri" w:hAnsi="Times New Roman" w:cs="Times New Roman"/>
          <w:sz w:val="24"/>
          <w:szCs w:val="24"/>
        </w:rPr>
        <w:t xml:space="preserve"> veidlapā Nr.024/u</w:t>
      </w:r>
      <w:r w:rsidRPr="004B5E88">
        <w:rPr>
          <w:rFonts w:ascii="Times New Roman" w:eastAsia="Calibri" w:hAnsi="Times New Roman" w:cs="Times New Roman"/>
          <w:b/>
          <w:sz w:val="24"/>
          <w:szCs w:val="24"/>
        </w:rPr>
        <w:t xml:space="preserve"> „</w:t>
      </w:r>
      <w:r w:rsidRPr="004B5E88">
        <w:rPr>
          <w:rFonts w:ascii="Times New Roman" w:eastAsia="Calibri" w:hAnsi="Times New Roman" w:cs="Times New Roman"/>
          <w:sz w:val="24"/>
          <w:szCs w:val="24"/>
        </w:rPr>
        <w:t>Ambulatorā pacienta talonā”</w:t>
      </w:r>
      <w:r w:rsidRPr="004B5E88">
        <w:rPr>
          <w:rFonts w:ascii="Times New Roman" w:hAnsi="Times New Roman" w:cs="Times New Roman"/>
          <w:sz w:val="24"/>
          <w:szCs w:val="24"/>
        </w:rPr>
        <w:t xml:space="preserve"> norāda manipulāciju </w:t>
      </w:r>
      <w:r w:rsidR="00320C76" w:rsidRPr="00320C76">
        <w:rPr>
          <w:rFonts w:ascii="Times New Roman" w:hAnsi="Times New Roman" w:cs="Times New Roman"/>
          <w:sz w:val="24"/>
          <w:szCs w:val="24"/>
          <w:lang w:eastAsia="lv-LV"/>
        </w:rPr>
        <w:t>atbilstoši manipulāciju sarakstā iekļauto manipulāciju tarifiem un apmaksas nosacījumiem.</w:t>
      </w:r>
      <w:r w:rsidRPr="004D21D3">
        <w:rPr>
          <w:rFonts w:ascii="Times New Roman" w:hAnsi="Times New Roman" w:cs="Times New Roman"/>
          <w:sz w:val="24"/>
          <w:szCs w:val="24"/>
        </w:rPr>
        <w:t xml:space="preserve"> </w:t>
      </w:r>
      <w:r w:rsidRPr="00F33784">
        <w:rPr>
          <w:rFonts w:ascii="Times New Roman" w:hAnsi="Times New Roman" w:cs="Times New Roman"/>
          <w:sz w:val="24"/>
          <w:szCs w:val="24"/>
        </w:rPr>
        <w:t xml:space="preserve">Par šīm </w:t>
      </w:r>
      <w:r>
        <w:rPr>
          <w:rFonts w:ascii="Times New Roman" w:hAnsi="Times New Roman" w:cs="Times New Roman"/>
          <w:sz w:val="24"/>
          <w:szCs w:val="24"/>
        </w:rPr>
        <w:t>konsultācijām</w:t>
      </w:r>
      <w:r w:rsidRPr="00F33784">
        <w:rPr>
          <w:rFonts w:ascii="Times New Roman" w:hAnsi="Times New Roman" w:cs="Times New Roman"/>
          <w:sz w:val="24"/>
          <w:szCs w:val="24"/>
        </w:rPr>
        <w:t xml:space="preserve"> no personas neiekasē pacienta līdzmaksājumu.</w:t>
      </w:r>
    </w:p>
    <w:p w14:paraId="669273DA" w14:textId="28383A06" w:rsidR="00A13B2E" w:rsidRDefault="00A13B2E" w:rsidP="00A13B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Šī dokumenta 14.punktā </w:t>
      </w:r>
      <w:r w:rsidR="002577D1">
        <w:rPr>
          <w:rFonts w:ascii="Times New Roman" w:hAnsi="Times New Roman" w:cs="Times New Roman"/>
          <w:sz w:val="24"/>
          <w:szCs w:val="24"/>
          <w:lang w:eastAsia="lv-LV"/>
        </w:rPr>
        <w:t>minētas</w:t>
      </w:r>
      <w:r w:rsidR="002577D1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manipulācijas tiek apmaksātas no 01.04.2020. līdz brīdim, par ko Dienests informēs atsevišķi.</w:t>
      </w:r>
    </w:p>
    <w:p w14:paraId="1B735CAC" w14:textId="77777777" w:rsidR="00A13B2E" w:rsidRDefault="00A13B2E" w:rsidP="00A13B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Par šī dokumenta 14.punktā sniegtām un saņemtām attālinātām konsultācijām IZPILDĪTĀJS medicīniskā dokumentācijā veic ierakstu ar sekojošu informāciju:</w:t>
      </w:r>
    </w:p>
    <w:p w14:paraId="33B6EA3B" w14:textId="77777777" w:rsidR="00A13B2E" w:rsidRPr="004B5E88" w:rsidRDefault="00A13B2E" w:rsidP="002577D1">
      <w:pPr>
        <w:pStyle w:val="ListParagraph"/>
        <w:numPr>
          <w:ilvl w:val="1"/>
          <w:numId w:val="1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5E88">
        <w:rPr>
          <w:rFonts w:ascii="Times New Roman" w:hAnsi="Times New Roman" w:cs="Times New Roman"/>
          <w:sz w:val="24"/>
          <w:szCs w:val="24"/>
        </w:rPr>
        <w:t>datums un konsultācijas sākuma (pulksteņa) laiks;</w:t>
      </w:r>
    </w:p>
    <w:p w14:paraId="0B44B8AC" w14:textId="77777777" w:rsidR="00A13B2E" w:rsidRDefault="00A13B2E" w:rsidP="002577D1">
      <w:pPr>
        <w:pStyle w:val="ListParagraph"/>
        <w:numPr>
          <w:ilvl w:val="1"/>
          <w:numId w:val="1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ārsta speciālista vārds uzvārds, specialitāte, darba vieta;</w:t>
      </w:r>
    </w:p>
    <w:p w14:paraId="666D4CCA" w14:textId="77777777" w:rsidR="00A13B2E" w:rsidRPr="00BD1DEC" w:rsidRDefault="00A13B2E" w:rsidP="002577D1">
      <w:pPr>
        <w:pStyle w:val="ListParagraph"/>
        <w:numPr>
          <w:ilvl w:val="1"/>
          <w:numId w:val="1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īss konsultācijas apraksts – risināmā problēma, pacienta sūdzības un anamnēze, speciālista sniegtās rekomendācijas par tālāko ārstēšanas taktiku; </w:t>
      </w:r>
    </w:p>
    <w:p w14:paraId="0A27C4F7" w14:textId="77777777" w:rsidR="00A13B2E" w:rsidRDefault="00A13B2E" w:rsidP="002577D1">
      <w:pPr>
        <w:pStyle w:val="ListParagraph"/>
        <w:numPr>
          <w:ilvl w:val="1"/>
          <w:numId w:val="1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ārsta vārds, uzvārds, paraksts.</w:t>
      </w:r>
    </w:p>
    <w:p w14:paraId="32BBFA91" w14:textId="6CEC16E5" w:rsidR="00A13B2E" w:rsidRPr="00BE69F3" w:rsidRDefault="00A13B2E" w:rsidP="00A13B2E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E34">
        <w:rPr>
          <w:rFonts w:ascii="Times New Roman" w:hAnsi="Times New Roman" w:cs="Times New Roman"/>
          <w:sz w:val="24"/>
          <w:szCs w:val="24"/>
        </w:rPr>
        <w:lastRenderedPageBreak/>
        <w:t xml:space="preserve">Ģimenes ārsta prakse </w:t>
      </w:r>
      <w:r w:rsidRPr="005D4E34">
        <w:rPr>
          <w:rFonts w:ascii="Times New Roman" w:hAnsi="Times New Roman" w:cs="Times New Roman"/>
          <w:sz w:val="24"/>
          <w:szCs w:val="24"/>
          <w:lang w:eastAsia="lv-LV"/>
        </w:rPr>
        <w:t>līdz brīdim, kamēr valstī tiks atcelta ārkārtējā situācija, vai citam brīdim, par ko Dienests informēs atsevišķi,</w:t>
      </w:r>
      <w:r w:rsidRPr="005D4E34">
        <w:rPr>
          <w:rFonts w:ascii="Times New Roman" w:hAnsi="Times New Roman" w:cs="Times New Roman"/>
          <w:sz w:val="24"/>
          <w:szCs w:val="24"/>
        </w:rPr>
        <w:t xml:space="preserve"> nodrošina ģimenes ārsta aprūpē</w:t>
      </w:r>
      <w:r w:rsidRPr="005D4E3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5D4E34">
        <w:rPr>
          <w:rFonts w:ascii="Times New Roman" w:hAnsi="Times New Roman" w:cs="Times New Roman"/>
          <w:sz w:val="24"/>
          <w:szCs w:val="24"/>
        </w:rPr>
        <w:t xml:space="preserve"> esošo pacientu veselības aprūpes nepārtrauktību (tajā skaitā izmantojot </w:t>
      </w:r>
      <w:r w:rsidR="00575183" w:rsidRPr="005D4E34">
        <w:rPr>
          <w:rFonts w:ascii="Times New Roman" w:hAnsi="Times New Roman" w:cs="Times New Roman"/>
          <w:sz w:val="24"/>
          <w:szCs w:val="24"/>
        </w:rPr>
        <w:t xml:space="preserve">attālinātās </w:t>
      </w:r>
      <w:r w:rsidRPr="005D4E34">
        <w:rPr>
          <w:rFonts w:ascii="Times New Roman" w:hAnsi="Times New Roman" w:cs="Times New Roman"/>
          <w:sz w:val="24"/>
          <w:szCs w:val="24"/>
        </w:rPr>
        <w:t xml:space="preserve">konsultācijas, pieņemot pacientus ambulatori un nepieciešamības gadījumā veicot mājas vizītes pie pacientiem), saglabājot ģimenes ārsta praksē nodarbināto </w:t>
      </w:r>
      <w:r w:rsidRPr="00BE69F3">
        <w:rPr>
          <w:rFonts w:ascii="Times New Roman" w:hAnsi="Times New Roman" w:cs="Times New Roman"/>
          <w:color w:val="000000" w:themeColor="text1"/>
          <w:sz w:val="24"/>
          <w:szCs w:val="24"/>
        </w:rPr>
        <w:t>ārstniecības personu pieejamību</w:t>
      </w:r>
      <w:r w:rsidRPr="00BE69F3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="005D4E34" w:rsidRPr="00BE69F3">
        <w:rPr>
          <w:rFonts w:ascii="Times New Roman" w:hAnsi="Times New Roman" w:cs="Times New Roman"/>
          <w:color w:val="000000" w:themeColor="text1"/>
          <w:sz w:val="24"/>
          <w:szCs w:val="24"/>
        </w:rPr>
        <w:t>, kā arī iesaistās kontaktpersonu noskaidrošanā un pacientu nosūtīšanā C</w:t>
      </w:r>
      <w:r w:rsidR="00D8412D" w:rsidRPr="00BE69F3">
        <w:rPr>
          <w:rFonts w:ascii="Times New Roman" w:hAnsi="Times New Roman" w:cs="Times New Roman"/>
          <w:color w:val="000000" w:themeColor="text1"/>
          <w:sz w:val="24"/>
          <w:szCs w:val="24"/>
        </w:rPr>
        <w:t>OVID</w:t>
      </w:r>
      <w:r w:rsidR="005D4E34" w:rsidRPr="00BE69F3">
        <w:rPr>
          <w:rFonts w:ascii="Times New Roman" w:hAnsi="Times New Roman" w:cs="Times New Roman"/>
          <w:color w:val="000000" w:themeColor="text1"/>
          <w:sz w:val="24"/>
          <w:szCs w:val="24"/>
        </w:rPr>
        <w:t>-19 izmeklējumu veikšanai.</w:t>
      </w:r>
    </w:p>
    <w:p w14:paraId="2065755B" w14:textId="233B063E" w:rsidR="00A13B2E" w:rsidRDefault="00A13B2E" w:rsidP="00A13B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9F3">
        <w:rPr>
          <w:rFonts w:ascii="Times New Roman" w:hAnsi="Times New Roman" w:cs="Times New Roman"/>
          <w:color w:val="000000" w:themeColor="text1"/>
          <w:sz w:val="24"/>
          <w:szCs w:val="24"/>
        </w:rPr>
        <w:t>DIENESTS ir tiesīgs veikt uzraudzības darbības</w:t>
      </w:r>
      <w:r w:rsidRPr="009F350B">
        <w:rPr>
          <w:rFonts w:ascii="Times New Roman" w:hAnsi="Times New Roman" w:cs="Times New Roman"/>
          <w:sz w:val="24"/>
          <w:szCs w:val="24"/>
        </w:rPr>
        <w:t xml:space="preserve">, t.sk. </w:t>
      </w:r>
      <w:proofErr w:type="spellStart"/>
      <w:r w:rsidRPr="009F350B">
        <w:rPr>
          <w:rFonts w:ascii="Times New Roman" w:hAnsi="Times New Roman" w:cs="Times New Roman"/>
          <w:sz w:val="24"/>
          <w:szCs w:val="24"/>
        </w:rPr>
        <w:t>kontrolzvanus</w:t>
      </w:r>
      <w:proofErr w:type="spellEnd"/>
      <w:r w:rsidRPr="009F350B">
        <w:rPr>
          <w:rFonts w:ascii="Times New Roman" w:hAnsi="Times New Roman" w:cs="Times New Roman"/>
          <w:sz w:val="24"/>
          <w:szCs w:val="24"/>
        </w:rPr>
        <w:t>, Vadības informācijas sistēmas datu analīzi, izvērtēt pacientu sniegto informāciju, veikt pārbaudes klātienē, lai pārliecinātos par šī dokumenta 1</w:t>
      </w:r>
      <w:r w:rsidR="009E0744">
        <w:rPr>
          <w:rFonts w:ascii="Times New Roman" w:hAnsi="Times New Roman" w:cs="Times New Roman"/>
          <w:sz w:val="24"/>
          <w:szCs w:val="24"/>
        </w:rPr>
        <w:t>7</w:t>
      </w:r>
      <w:r w:rsidRPr="009F350B">
        <w:rPr>
          <w:rFonts w:ascii="Times New Roman" w:hAnsi="Times New Roman" w:cs="Times New Roman"/>
          <w:sz w:val="24"/>
          <w:szCs w:val="24"/>
        </w:rPr>
        <w:t xml:space="preserve">. punkta nosacījumu izpildi. </w:t>
      </w:r>
    </w:p>
    <w:p w14:paraId="12614C80" w14:textId="77777777" w:rsidR="0059734C" w:rsidRPr="00A55FF8" w:rsidRDefault="0059734C" w:rsidP="005973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FF8">
        <w:rPr>
          <w:rFonts w:ascii="Times New Roman" w:hAnsi="Times New Roman" w:cs="Times New Roman"/>
          <w:sz w:val="24"/>
          <w:szCs w:val="24"/>
        </w:rPr>
        <w:t xml:space="preserve">DIENESTS apmaksā IZPILDĪTĀJAM pēc brīvprātības principa COVID-19 izmeklējumā materiāla paņemšanu savā praksē vai apmeklējot pacientu mājās, ja IZPILDĪTĀJS par to informējis DIENESTU. </w:t>
      </w:r>
    </w:p>
    <w:p w14:paraId="471CEDC8" w14:textId="16343CCA" w:rsidR="0059734C" w:rsidRPr="00A55FF8" w:rsidRDefault="0059734C" w:rsidP="005973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FF8">
        <w:rPr>
          <w:rFonts w:ascii="Times New Roman" w:hAnsi="Times New Roman" w:cs="Times New Roman"/>
          <w:sz w:val="24"/>
          <w:szCs w:val="24"/>
        </w:rPr>
        <w:t xml:space="preserve">IZPILDĪTĀJS par šī dokumenta </w:t>
      </w:r>
      <w:r w:rsidR="003561D2">
        <w:rPr>
          <w:rFonts w:ascii="Times New Roman" w:hAnsi="Times New Roman" w:cs="Times New Roman"/>
          <w:sz w:val="24"/>
          <w:szCs w:val="24"/>
        </w:rPr>
        <w:t>19</w:t>
      </w:r>
      <w:r w:rsidRPr="00A55FF8">
        <w:rPr>
          <w:rFonts w:ascii="Times New Roman" w:hAnsi="Times New Roman" w:cs="Times New Roman"/>
          <w:sz w:val="24"/>
          <w:szCs w:val="24"/>
        </w:rPr>
        <w:t xml:space="preserve">.punktā veikto analīžu parauga paņemšanu </w:t>
      </w:r>
      <w:bookmarkStart w:id="2" w:name="_Hlk79598525"/>
      <w:r w:rsidRPr="00A55FF8">
        <w:rPr>
          <w:rFonts w:ascii="Times New Roman" w:hAnsi="Times New Roman" w:cs="Times New Roman"/>
          <w:sz w:val="24"/>
          <w:szCs w:val="24"/>
        </w:rPr>
        <w:t>veidlapā Nr.024/u „Ambulatorā pacienta talonā” norāda manipulāciju</w:t>
      </w:r>
      <w:bookmarkEnd w:id="2"/>
      <w:r w:rsidRPr="00A55FF8">
        <w:rPr>
          <w:rFonts w:ascii="Times New Roman" w:hAnsi="Times New Roman" w:cs="Times New Roman"/>
          <w:sz w:val="24"/>
          <w:szCs w:val="24"/>
        </w:rPr>
        <w:t xml:space="preserve"> </w:t>
      </w:r>
      <w:r w:rsidR="009E0744" w:rsidRPr="00320C76">
        <w:rPr>
          <w:rFonts w:ascii="Times New Roman" w:eastAsia="Calibri" w:hAnsi="Times New Roman" w:cs="Times New Roman"/>
          <w:sz w:val="24"/>
          <w:szCs w:val="24"/>
        </w:rPr>
        <w:t>atbilstoši manipulāciju sarakstā iekļauto manipulāciju tarifiem</w:t>
      </w:r>
      <w:r w:rsidR="009E0744">
        <w:rPr>
          <w:rFonts w:ascii="Times New Roman" w:eastAsia="Calibri" w:hAnsi="Times New Roman" w:cs="Times New Roman"/>
          <w:sz w:val="24"/>
          <w:szCs w:val="24"/>
        </w:rPr>
        <w:t xml:space="preserve"> un apmaksas nosacījumiem.</w:t>
      </w:r>
    </w:p>
    <w:p w14:paraId="288B5120" w14:textId="6D0F133F" w:rsidR="0059734C" w:rsidRPr="00A55FF8" w:rsidRDefault="0059734C" w:rsidP="005973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FF8">
        <w:rPr>
          <w:rFonts w:ascii="Times New Roman" w:hAnsi="Times New Roman" w:cs="Times New Roman"/>
          <w:sz w:val="24"/>
          <w:szCs w:val="24"/>
        </w:rPr>
        <w:t>DIENESTS apmaksā IZPILDĪTĀJAM ārvalstu pilsoņiem sniegtas att</w:t>
      </w:r>
      <w:r w:rsidR="0039710B" w:rsidRPr="00A55FF8">
        <w:rPr>
          <w:rFonts w:ascii="Times New Roman" w:hAnsi="Times New Roman" w:cs="Times New Roman"/>
          <w:sz w:val="24"/>
          <w:szCs w:val="24"/>
        </w:rPr>
        <w:t>ālinātas konsultācijas</w:t>
      </w:r>
      <w:r w:rsidRPr="00A55FF8">
        <w:rPr>
          <w:rFonts w:ascii="Times New Roman" w:hAnsi="Times New Roman" w:cs="Times New Roman"/>
          <w:sz w:val="24"/>
          <w:szCs w:val="24"/>
        </w:rPr>
        <w:t>, ja pacientam apstiprināta saslimšana ar COVID-19 vai nozīmēta uzraudzība, lai neapdraudētu epidemioloģisko drošību</w:t>
      </w:r>
      <w:r w:rsidR="0039710B" w:rsidRPr="00A55FF8">
        <w:rPr>
          <w:rFonts w:ascii="Times New Roman" w:hAnsi="Times New Roman" w:cs="Times New Roman"/>
          <w:sz w:val="24"/>
          <w:szCs w:val="24"/>
        </w:rPr>
        <w:t>.</w:t>
      </w:r>
    </w:p>
    <w:p w14:paraId="3D463B5B" w14:textId="68CD8A0D" w:rsidR="0039710B" w:rsidRPr="00A55FF8" w:rsidRDefault="0039710B" w:rsidP="003971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FF8">
        <w:rPr>
          <w:rFonts w:ascii="Times New Roman" w:hAnsi="Times New Roman" w:cs="Times New Roman"/>
          <w:sz w:val="24"/>
          <w:szCs w:val="24"/>
        </w:rPr>
        <w:t xml:space="preserve">IZPILDĪTĀJS par šī dokumenta </w:t>
      </w:r>
      <w:r w:rsidR="003561D2">
        <w:rPr>
          <w:rFonts w:ascii="Times New Roman" w:hAnsi="Times New Roman" w:cs="Times New Roman"/>
          <w:sz w:val="24"/>
          <w:szCs w:val="24"/>
        </w:rPr>
        <w:t>21</w:t>
      </w:r>
      <w:r w:rsidRPr="00A55FF8">
        <w:rPr>
          <w:rFonts w:ascii="Times New Roman" w:hAnsi="Times New Roman" w:cs="Times New Roman"/>
          <w:sz w:val="24"/>
          <w:szCs w:val="24"/>
        </w:rPr>
        <w:t xml:space="preserve">.punktā sniegtajām attālinātajām konsultācijām veidlapā Nr.024/u „Ambulatorā pacienta talonā” norāda manipulāciju </w:t>
      </w:r>
      <w:r w:rsidR="009E0744" w:rsidRPr="00320C76">
        <w:rPr>
          <w:rFonts w:ascii="Times New Roman" w:eastAsia="Calibri" w:hAnsi="Times New Roman" w:cs="Times New Roman"/>
          <w:sz w:val="24"/>
          <w:szCs w:val="24"/>
        </w:rPr>
        <w:t>atbilstoši manipulāciju sarakstā iekļauto manipulāciju tarifiem</w:t>
      </w:r>
      <w:r w:rsidR="009E0744">
        <w:rPr>
          <w:rFonts w:ascii="Times New Roman" w:eastAsia="Calibri" w:hAnsi="Times New Roman" w:cs="Times New Roman"/>
          <w:sz w:val="24"/>
          <w:szCs w:val="24"/>
        </w:rPr>
        <w:t xml:space="preserve"> un apmaksas nosacījumiem.</w:t>
      </w:r>
      <w:r w:rsidR="00E00D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FF8">
        <w:rPr>
          <w:rFonts w:ascii="Times New Roman" w:hAnsi="Times New Roman" w:cs="Times New Roman"/>
          <w:sz w:val="24"/>
          <w:szCs w:val="24"/>
        </w:rPr>
        <w:t>Spēkā no 01.10.2020.</w:t>
      </w:r>
      <w:r w:rsidR="00763521" w:rsidRPr="00763521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763521">
        <w:rPr>
          <w:rFonts w:ascii="Times New Roman" w:hAnsi="Times New Roman" w:cs="Times New Roman"/>
          <w:sz w:val="24"/>
          <w:szCs w:val="24"/>
          <w:lang w:eastAsia="lv-LV"/>
        </w:rPr>
        <w:t>līdz brīdim, par ko Dienests informēs atsevišķi.</w:t>
      </w:r>
    </w:p>
    <w:p w14:paraId="19B5A951" w14:textId="77777777" w:rsidR="00BE69F3" w:rsidRDefault="00BE69F3" w:rsidP="00BE69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6437019"/>
      <w:r>
        <w:rPr>
          <w:rFonts w:ascii="Times New Roman" w:hAnsi="Times New Roman" w:cs="Times New Roman"/>
          <w:sz w:val="24"/>
          <w:szCs w:val="24"/>
        </w:rPr>
        <w:t xml:space="preserve">IZPILDĪTĀJS </w:t>
      </w:r>
      <w:r w:rsidRPr="00F4173D">
        <w:rPr>
          <w:rFonts w:ascii="Times New Roman" w:hAnsi="Times New Roman" w:cs="Times New Roman"/>
          <w:sz w:val="24"/>
          <w:szCs w:val="24"/>
        </w:rPr>
        <w:t>aktīv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F4173D">
        <w:rPr>
          <w:rFonts w:ascii="Times New Roman" w:hAnsi="Times New Roman" w:cs="Times New Roman"/>
          <w:sz w:val="24"/>
          <w:szCs w:val="24"/>
        </w:rPr>
        <w:t xml:space="preserve"> COVID-19 pacient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F4173D">
        <w:rPr>
          <w:rFonts w:ascii="Times New Roman" w:hAnsi="Times New Roman" w:cs="Times New Roman"/>
          <w:sz w:val="24"/>
          <w:szCs w:val="24"/>
        </w:rPr>
        <w:t xml:space="preserve"> un Slimību profilakses un kontroles centra atzīt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F4173D">
        <w:rPr>
          <w:rFonts w:ascii="Times New Roman" w:hAnsi="Times New Roman" w:cs="Times New Roman"/>
          <w:sz w:val="24"/>
          <w:szCs w:val="24"/>
        </w:rPr>
        <w:t xml:space="preserve"> COVID-19 kontaktperson</w:t>
      </w:r>
      <w:r>
        <w:rPr>
          <w:rFonts w:ascii="Times New Roman" w:hAnsi="Times New Roman" w:cs="Times New Roman"/>
          <w:sz w:val="24"/>
          <w:szCs w:val="24"/>
        </w:rPr>
        <w:t xml:space="preserve">as un vai ģimenē vai vienā mājsaimniecībā  noteiktās kontaktpersonas akūtos gadījumos </w:t>
      </w:r>
      <w:proofErr w:type="spellStart"/>
      <w:r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uz sekundāriem ambulatoriem veselības aprūpes pakalpojumiem, ievērojot visus zemāk noteiktos  nosacījumus:</w:t>
      </w:r>
    </w:p>
    <w:p w14:paraId="692D53F4" w14:textId="77777777" w:rsidR="00BE69F3" w:rsidRPr="00DF794C" w:rsidRDefault="00BE69F3" w:rsidP="002577D1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DF794C">
        <w:rPr>
          <w:rFonts w:ascii="Times New Roman" w:hAnsi="Times New Roman" w:cs="Times New Roman"/>
          <w:sz w:val="24"/>
          <w:szCs w:val="24"/>
        </w:rPr>
        <w:t>izrakst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794C">
        <w:rPr>
          <w:rFonts w:ascii="Times New Roman" w:hAnsi="Times New Roman" w:cs="Times New Roman"/>
          <w:sz w:val="24"/>
          <w:szCs w:val="24"/>
        </w:rPr>
        <w:t xml:space="preserve"> E-nosūtījumu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94C">
        <w:rPr>
          <w:rFonts w:ascii="Times New Roman" w:hAnsi="Times New Roman" w:cs="Times New Roman"/>
          <w:sz w:val="24"/>
          <w:szCs w:val="24"/>
        </w:rPr>
        <w:t xml:space="preserve"> E-veselības portāl</w:t>
      </w:r>
      <w:r>
        <w:rPr>
          <w:rFonts w:ascii="Times New Roman" w:hAnsi="Times New Roman" w:cs="Times New Roman"/>
          <w:sz w:val="24"/>
          <w:szCs w:val="24"/>
        </w:rPr>
        <w:t xml:space="preserve">ā un </w:t>
      </w:r>
      <w:r w:rsidRPr="00DF794C">
        <w:rPr>
          <w:rFonts w:ascii="Times New Roman" w:hAnsi="Times New Roman" w:cs="Times New Roman"/>
          <w:sz w:val="24"/>
          <w:szCs w:val="24"/>
        </w:rPr>
        <w:t>nosūtījumā norāda vienu no diagnozēm:</w:t>
      </w:r>
    </w:p>
    <w:p w14:paraId="0AFA9514" w14:textId="007BCC10" w:rsidR="00BE69F3" w:rsidRPr="009D0C6D" w:rsidRDefault="00BE69F3" w:rsidP="002577D1">
      <w:pPr>
        <w:pStyle w:val="ListParagraph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1749">
        <w:rPr>
          <w:rFonts w:ascii="Times New Roman" w:hAnsi="Times New Roman" w:cs="Times New Roman"/>
          <w:sz w:val="24"/>
          <w:szCs w:val="24"/>
        </w:rPr>
        <w:t>3</w:t>
      </w:r>
      <w:r w:rsidRPr="009D0C6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.1. j</w:t>
      </w:r>
      <w:r w:rsidRPr="009D0C6D">
        <w:rPr>
          <w:rFonts w:ascii="Times New Roman" w:hAnsi="Times New Roman" w:cs="Times New Roman"/>
          <w:sz w:val="24"/>
          <w:szCs w:val="24"/>
        </w:rPr>
        <w:t xml:space="preserve">a personai COVID-19 ir laboratoriski, klīniski un epidemioloģiski apstiprināts, neatkarīgi no klīnisko pazīmju vai simptomu smaguma, </w:t>
      </w:r>
      <w:r>
        <w:rPr>
          <w:rFonts w:ascii="Times New Roman" w:hAnsi="Times New Roman" w:cs="Times New Roman"/>
          <w:sz w:val="24"/>
          <w:szCs w:val="24"/>
        </w:rPr>
        <w:t xml:space="preserve">uzskaites dokumentā </w:t>
      </w:r>
      <w:r w:rsidRPr="009D0C6D">
        <w:rPr>
          <w:rFonts w:ascii="Times New Roman" w:hAnsi="Times New Roman" w:cs="Times New Roman"/>
          <w:sz w:val="24"/>
          <w:szCs w:val="24"/>
        </w:rPr>
        <w:t xml:space="preserve"> norāda diagnozi “U07.1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D0C6D">
        <w:rPr>
          <w:rFonts w:ascii="Times New Roman" w:hAnsi="Times New Roman" w:cs="Times New Roman"/>
          <w:sz w:val="24"/>
          <w:szCs w:val="24"/>
        </w:rPr>
        <w:t xml:space="preserve"> Covid-19, ja vīruss identificēts”;</w:t>
      </w:r>
    </w:p>
    <w:p w14:paraId="4A35E726" w14:textId="23F62EFB" w:rsidR="00BE69F3" w:rsidRPr="009D0C6D" w:rsidRDefault="00BE69F3" w:rsidP="002577D1">
      <w:pPr>
        <w:pStyle w:val="ListParagraph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17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.1.2.  j</w:t>
      </w:r>
      <w:r w:rsidRPr="009D0C6D">
        <w:rPr>
          <w:rFonts w:ascii="Times New Roman" w:hAnsi="Times New Roman" w:cs="Times New Roman"/>
          <w:sz w:val="24"/>
          <w:szCs w:val="24"/>
        </w:rPr>
        <w:t xml:space="preserve">a personai </w:t>
      </w:r>
      <w:r>
        <w:rPr>
          <w:rFonts w:ascii="Times New Roman" w:hAnsi="Times New Roman" w:cs="Times New Roman"/>
          <w:sz w:val="24"/>
          <w:szCs w:val="24"/>
        </w:rPr>
        <w:t xml:space="preserve">ir kontaktpersona COVID 19 slimniekam un </w:t>
      </w:r>
      <w:r w:rsidRPr="009D0C6D">
        <w:rPr>
          <w:rFonts w:ascii="Times New Roman" w:hAnsi="Times New Roman" w:cs="Times New Roman"/>
          <w:sz w:val="24"/>
          <w:szCs w:val="24"/>
        </w:rPr>
        <w:t xml:space="preserve">nav klīnisku simptomu, </w:t>
      </w:r>
      <w:r>
        <w:rPr>
          <w:rFonts w:ascii="Times New Roman" w:hAnsi="Times New Roman" w:cs="Times New Roman"/>
          <w:sz w:val="24"/>
          <w:szCs w:val="24"/>
        </w:rPr>
        <w:t xml:space="preserve">uzskaites dokumentā </w:t>
      </w:r>
      <w:r w:rsidRPr="009D0C6D">
        <w:rPr>
          <w:rFonts w:ascii="Times New Roman" w:hAnsi="Times New Roman" w:cs="Times New Roman"/>
          <w:sz w:val="24"/>
          <w:szCs w:val="24"/>
        </w:rPr>
        <w:t xml:space="preserve">norāda diagnozi “Z20.8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D0C6D">
        <w:rPr>
          <w:rFonts w:ascii="Times New Roman" w:hAnsi="Times New Roman" w:cs="Times New Roman"/>
          <w:sz w:val="24"/>
          <w:szCs w:val="24"/>
        </w:rPr>
        <w:t xml:space="preserve"> Iespēja inficēties un kontakts ar citām lipīgām slimībām”.</w:t>
      </w:r>
    </w:p>
    <w:p w14:paraId="10F17034" w14:textId="43FE38F7" w:rsidR="00BE69F3" w:rsidRDefault="00BE69F3" w:rsidP="002577D1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73D">
        <w:rPr>
          <w:rFonts w:ascii="Times New Roman" w:hAnsi="Times New Roman" w:cs="Times New Roman"/>
          <w:sz w:val="24"/>
          <w:szCs w:val="24"/>
        </w:rPr>
        <w:t>DIENEST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4173D">
        <w:rPr>
          <w:rFonts w:ascii="Times New Roman" w:hAnsi="Times New Roman" w:cs="Times New Roman"/>
          <w:sz w:val="24"/>
          <w:szCs w:val="24"/>
        </w:rPr>
        <w:t xml:space="preserve">mājas lapā </w:t>
      </w:r>
      <w:r>
        <w:rPr>
          <w:rFonts w:ascii="Times New Roman" w:hAnsi="Times New Roman" w:cs="Times New Roman"/>
          <w:sz w:val="24"/>
          <w:szCs w:val="24"/>
        </w:rPr>
        <w:t xml:space="preserve">vietnē noteiktām </w:t>
      </w:r>
      <w:r w:rsidRPr="00F4173D">
        <w:rPr>
          <w:rFonts w:ascii="Times New Roman" w:hAnsi="Times New Roman" w:cs="Times New Roman"/>
          <w:sz w:val="24"/>
          <w:szCs w:val="24"/>
        </w:rPr>
        <w:t>ārstniecības iestādēm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73D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9C3455">
          <w:rPr>
            <w:rStyle w:val="Hyperlink"/>
            <w:rFonts w:ascii="Times New Roman" w:hAnsi="Times New Roman" w:cs="Times New Roman"/>
            <w:sz w:val="24"/>
            <w:szCs w:val="24"/>
          </w:rPr>
          <w:t>http://vmnvd.gov.lv/lv/arstniecibas-pakalpojumu-sanemsanas-kartiba</w:t>
        </w:r>
      </w:hyperlink>
      <w:r w:rsidRPr="00DF794C">
        <w:rPr>
          <w:rFonts w:ascii="Times New Roman" w:hAnsi="Times New Roman" w:cs="Times New Roman"/>
          <w:sz w:val="24"/>
          <w:szCs w:val="24"/>
        </w:rPr>
        <w:t xml:space="preserve"> ), kuras nodrošina speciālist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F794C">
        <w:rPr>
          <w:rFonts w:ascii="Times New Roman" w:hAnsi="Times New Roman" w:cs="Times New Roman"/>
          <w:sz w:val="24"/>
          <w:szCs w:val="24"/>
        </w:rPr>
        <w:t xml:space="preserve"> konsultācij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DF794C">
        <w:rPr>
          <w:rFonts w:ascii="Times New Roman" w:hAnsi="Times New Roman" w:cs="Times New Roman"/>
          <w:sz w:val="24"/>
          <w:szCs w:val="24"/>
        </w:rPr>
        <w:t xml:space="preserve"> vai vizuālās diagnostikas izmeklējumus aktīviem COVID-19 pacientiem un COVID-19 </w:t>
      </w:r>
      <w:r w:rsidRPr="00DF794C">
        <w:rPr>
          <w:rFonts w:ascii="Times New Roman" w:hAnsi="Times New Roman" w:cs="Times New Roman"/>
          <w:sz w:val="24"/>
          <w:szCs w:val="24"/>
        </w:rPr>
        <w:lastRenderedPageBreak/>
        <w:t>kontaktpersonām akūtos gadījumos. Pakalpojum</w:t>
      </w:r>
      <w:r>
        <w:rPr>
          <w:rFonts w:ascii="Times New Roman" w:hAnsi="Times New Roman" w:cs="Times New Roman"/>
          <w:sz w:val="24"/>
          <w:szCs w:val="24"/>
        </w:rPr>
        <w:t xml:space="preserve">u ārstniecības iestādes </w:t>
      </w:r>
      <w:r w:rsidRPr="00DF794C">
        <w:rPr>
          <w:rFonts w:ascii="Times New Roman" w:hAnsi="Times New Roman" w:cs="Times New Roman"/>
          <w:sz w:val="24"/>
          <w:szCs w:val="24"/>
        </w:rPr>
        <w:t xml:space="preserve"> nodrošin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794C">
        <w:rPr>
          <w:rFonts w:ascii="Times New Roman" w:hAnsi="Times New Roman" w:cs="Times New Roman"/>
          <w:sz w:val="24"/>
          <w:szCs w:val="24"/>
        </w:rPr>
        <w:t xml:space="preserve"> 3 darba dienu laikā pēc </w:t>
      </w:r>
      <w:r>
        <w:rPr>
          <w:rFonts w:ascii="Times New Roman" w:hAnsi="Times New Roman" w:cs="Times New Roman"/>
          <w:sz w:val="24"/>
          <w:szCs w:val="24"/>
        </w:rPr>
        <w:t xml:space="preserve">personas pieteikuma saņemšanas </w:t>
      </w:r>
      <w:r w:rsidRPr="00DF794C">
        <w:rPr>
          <w:rFonts w:ascii="Times New Roman" w:hAnsi="Times New Roman" w:cs="Times New Roman"/>
          <w:sz w:val="24"/>
          <w:szCs w:val="24"/>
        </w:rPr>
        <w:t>ārstniecība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F794C">
        <w:rPr>
          <w:rFonts w:ascii="Times New Roman" w:hAnsi="Times New Roman" w:cs="Times New Roman"/>
          <w:sz w:val="24"/>
          <w:szCs w:val="24"/>
        </w:rPr>
        <w:t xml:space="preserve"> iestādē. </w:t>
      </w:r>
      <w:bookmarkEnd w:id="3"/>
    </w:p>
    <w:p w14:paraId="0ADC392B" w14:textId="39669A38" w:rsidR="001076CC" w:rsidRDefault="004D7196" w:rsidP="001076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DIENESTS apmaksā IZPILDĪTĀJAM</w:t>
      </w:r>
      <w:r w:rsidR="0068033D">
        <w:rPr>
          <w:rFonts w:ascii="Times New Roman" w:hAnsi="Times New Roman" w:cs="Times New Roman"/>
          <w:sz w:val="24"/>
          <w:szCs w:val="24"/>
        </w:rPr>
        <w:t xml:space="preserve"> ārstniecības personas veiktu</w:t>
      </w:r>
      <w:r w:rsidR="006C038C">
        <w:rPr>
          <w:rFonts w:ascii="Times New Roman" w:hAnsi="Times New Roman" w:cs="Times New Roman"/>
          <w:sz w:val="24"/>
          <w:szCs w:val="24"/>
        </w:rPr>
        <w:t>s</w:t>
      </w:r>
      <w:r w:rsidR="0068033D">
        <w:rPr>
          <w:rFonts w:ascii="Times New Roman" w:hAnsi="Times New Roman" w:cs="Times New Roman"/>
          <w:sz w:val="24"/>
          <w:szCs w:val="24"/>
        </w:rPr>
        <w:t xml:space="preserve"> telefona </w:t>
      </w:r>
      <w:r w:rsidR="0068033D" w:rsidRPr="0068033D">
        <w:rPr>
          <w:rFonts w:ascii="Times New Roman" w:hAnsi="Times New Roman" w:cs="Times New Roman"/>
          <w:sz w:val="24"/>
          <w:szCs w:val="24"/>
        </w:rPr>
        <w:t>zvan</w:t>
      </w:r>
      <w:r w:rsidR="0068033D">
        <w:rPr>
          <w:rFonts w:ascii="Times New Roman" w:hAnsi="Times New Roman" w:cs="Times New Roman"/>
          <w:sz w:val="24"/>
          <w:szCs w:val="24"/>
        </w:rPr>
        <w:t>u</w:t>
      </w:r>
      <w:r w:rsidR="006C038C">
        <w:rPr>
          <w:rFonts w:ascii="Times New Roman" w:hAnsi="Times New Roman" w:cs="Times New Roman"/>
          <w:sz w:val="24"/>
          <w:szCs w:val="24"/>
        </w:rPr>
        <w:t>s</w:t>
      </w:r>
      <w:r w:rsidR="0068033D" w:rsidRPr="0068033D">
        <w:rPr>
          <w:rFonts w:ascii="Times New Roman" w:hAnsi="Times New Roman" w:cs="Times New Roman"/>
          <w:sz w:val="24"/>
          <w:szCs w:val="24"/>
        </w:rPr>
        <w:t xml:space="preserve"> par aicinājumu veikt vakcināciju pret Covid-19</w:t>
      </w:r>
      <w:r w:rsidR="0068033D">
        <w:rPr>
          <w:rFonts w:ascii="Times New Roman" w:hAnsi="Times New Roman" w:cs="Times New Roman"/>
          <w:sz w:val="24"/>
          <w:szCs w:val="24"/>
        </w:rPr>
        <w:t xml:space="preserve"> savā praksē reģistrētajiem pacientiem, kuriem atbilstoši DIENESTA sniegtai informācijai (sarakstiem) nav uzsākta vakcinācija vai nokavēts otrās devas saņemšanas termiņš, lai veicinātu vakcinācijas aptveres palielināšanu.</w:t>
      </w:r>
    </w:p>
    <w:p w14:paraId="0693EB08" w14:textId="3FAC6A7D" w:rsidR="0068033D" w:rsidRDefault="0068033D" w:rsidP="001076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IZPILDĪTĀJS par šī dokumenta 2</w:t>
      </w:r>
      <w:r w:rsidR="003561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.punktā minētiem zvaniem </w:t>
      </w:r>
      <w:r w:rsidR="007B04B0" w:rsidRPr="007B04B0">
        <w:rPr>
          <w:rFonts w:ascii="Times New Roman" w:hAnsi="Times New Roman" w:cs="Times New Roman"/>
          <w:sz w:val="24"/>
          <w:szCs w:val="24"/>
        </w:rPr>
        <w:t>veidlapā Nr.024/u „Ambulatorā pacienta talonā” norāda manipulāciju</w:t>
      </w:r>
      <w:r w:rsidR="007B04B0">
        <w:rPr>
          <w:rFonts w:ascii="Times New Roman" w:hAnsi="Times New Roman" w:cs="Times New Roman"/>
          <w:sz w:val="24"/>
          <w:szCs w:val="24"/>
        </w:rPr>
        <w:t xml:space="preserve"> </w:t>
      </w:r>
      <w:r w:rsidR="009E0744" w:rsidRPr="00320C76">
        <w:rPr>
          <w:rFonts w:ascii="Times New Roman" w:eastAsia="Calibri" w:hAnsi="Times New Roman" w:cs="Times New Roman"/>
          <w:sz w:val="24"/>
          <w:szCs w:val="24"/>
        </w:rPr>
        <w:t>atbilstoši manipulāciju sarakstā iekļauto manipulāciju tarifiem</w:t>
      </w:r>
      <w:r w:rsidR="009E0744">
        <w:rPr>
          <w:rFonts w:ascii="Times New Roman" w:eastAsia="Calibri" w:hAnsi="Times New Roman" w:cs="Times New Roman"/>
          <w:sz w:val="24"/>
          <w:szCs w:val="24"/>
        </w:rPr>
        <w:t xml:space="preserve"> un apmaksas nosacījumiem.</w:t>
      </w:r>
      <w:r w:rsidR="00E00D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00CC" w:rsidRPr="004700CC">
        <w:rPr>
          <w:rFonts w:ascii="Times New Roman" w:hAnsi="Times New Roman" w:cs="Times New Roman"/>
          <w:sz w:val="24"/>
          <w:szCs w:val="24"/>
        </w:rPr>
        <w:t>Par šīm manipulācijām no personas neiekasē pacienta līdzmaksājumu.</w:t>
      </w:r>
    </w:p>
    <w:p w14:paraId="66BDE3FA" w14:textId="62AB39FD" w:rsidR="004700CC" w:rsidRDefault="004700CC" w:rsidP="001076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IZPILDĪTĀJS par šī dokumenta 2</w:t>
      </w:r>
      <w:r w:rsidR="003561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.punktā minētiem zvaniem veido un uztur sekojošu informāciju, ko pēc pieprasījuma iesniedz vai uzrāda DIENESTAM</w:t>
      </w:r>
      <w:r w:rsidR="006C038C">
        <w:rPr>
          <w:rFonts w:ascii="Times New Roman" w:hAnsi="Times New Roman" w:cs="Times New Roman"/>
          <w:sz w:val="24"/>
          <w:szCs w:val="24"/>
        </w:rPr>
        <w:t xml:space="preserve"> veicot uzraudzības darbības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5E8C2D" w14:textId="547E12E7" w:rsidR="004700CC" w:rsidRPr="006C3DB3" w:rsidRDefault="004700CC" w:rsidP="00A13B2E">
      <w:pPr>
        <w:pStyle w:val="ListParagraph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82"/>
        <w:gridCol w:w="748"/>
        <w:gridCol w:w="645"/>
        <w:gridCol w:w="678"/>
        <w:gridCol w:w="957"/>
        <w:gridCol w:w="1023"/>
        <w:gridCol w:w="645"/>
        <w:gridCol w:w="678"/>
        <w:gridCol w:w="957"/>
        <w:gridCol w:w="1023"/>
      </w:tblGrid>
      <w:tr w:rsidR="006C038C" w:rsidRPr="006C038C" w14:paraId="118EC4F4" w14:textId="77777777" w:rsidTr="004700CC">
        <w:tc>
          <w:tcPr>
            <w:tcW w:w="802" w:type="dxa"/>
          </w:tcPr>
          <w:p w14:paraId="600B21C0" w14:textId="77777777" w:rsidR="004700CC" w:rsidRPr="002577D1" w:rsidRDefault="004700C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61AAC07" w14:textId="77777777" w:rsidR="004700CC" w:rsidRPr="002577D1" w:rsidRDefault="004700C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4" w:type="dxa"/>
            <w:gridSpan w:val="4"/>
          </w:tcPr>
          <w:p w14:paraId="6AA72FE8" w14:textId="6FF02BC4" w:rsidR="004700CC" w:rsidRPr="002577D1" w:rsidRDefault="004700C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577D1">
              <w:rPr>
                <w:rFonts w:ascii="Times New Roman" w:hAnsi="Times New Roman" w:cs="Times New Roman"/>
              </w:rPr>
              <w:t>1.zvana informācija</w:t>
            </w:r>
          </w:p>
        </w:tc>
        <w:tc>
          <w:tcPr>
            <w:tcW w:w="1316" w:type="dxa"/>
            <w:gridSpan w:val="4"/>
          </w:tcPr>
          <w:p w14:paraId="3CCCA2CF" w14:textId="1E991214" w:rsidR="004700CC" w:rsidRPr="002577D1" w:rsidRDefault="004700C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577D1">
              <w:rPr>
                <w:rFonts w:ascii="Times New Roman" w:hAnsi="Times New Roman" w:cs="Times New Roman"/>
              </w:rPr>
              <w:t>2.zvana informācija</w:t>
            </w:r>
          </w:p>
        </w:tc>
      </w:tr>
      <w:tr w:rsidR="006C038C" w:rsidRPr="006C038C" w14:paraId="391E9E26" w14:textId="77777777" w:rsidTr="004700CC">
        <w:tc>
          <w:tcPr>
            <w:tcW w:w="802" w:type="dxa"/>
          </w:tcPr>
          <w:p w14:paraId="2D2691BE" w14:textId="045CD36F" w:rsidR="004700CC" w:rsidRPr="002577D1" w:rsidRDefault="004700C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577D1">
              <w:rPr>
                <w:rFonts w:ascii="Times New Roman" w:hAnsi="Times New Roman" w:cs="Times New Roman"/>
              </w:rPr>
              <w:t>N.p.k</w:t>
            </w:r>
            <w:proofErr w:type="spellEnd"/>
            <w:r w:rsidRPr="002577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4" w:type="dxa"/>
          </w:tcPr>
          <w:p w14:paraId="3BB1FC57" w14:textId="5982F7F1" w:rsidR="004700CC" w:rsidRPr="002577D1" w:rsidRDefault="004700C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577D1">
              <w:rPr>
                <w:rFonts w:ascii="Times New Roman" w:hAnsi="Times New Roman" w:cs="Times New Roman"/>
              </w:rPr>
              <w:t>Pacients (Vārds, Uzvārds, personas kods)</w:t>
            </w:r>
          </w:p>
        </w:tc>
        <w:tc>
          <w:tcPr>
            <w:tcW w:w="900" w:type="dxa"/>
          </w:tcPr>
          <w:p w14:paraId="749D115A" w14:textId="6AA0ADE7" w:rsidR="004700CC" w:rsidRPr="002577D1" w:rsidRDefault="004700C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577D1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952" w:type="dxa"/>
          </w:tcPr>
          <w:p w14:paraId="48AFA40E" w14:textId="20B99376" w:rsidR="004700CC" w:rsidRPr="002577D1" w:rsidRDefault="004700C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577D1">
              <w:rPr>
                <w:rFonts w:ascii="Times New Roman" w:hAnsi="Times New Roman" w:cs="Times New Roman"/>
              </w:rPr>
              <w:t>Tālruņa Nr., uz kuru zvanīts</w:t>
            </w:r>
          </w:p>
        </w:tc>
        <w:tc>
          <w:tcPr>
            <w:tcW w:w="1398" w:type="dxa"/>
          </w:tcPr>
          <w:p w14:paraId="362A7909" w14:textId="66B18DFD" w:rsidR="004700CC" w:rsidRPr="002577D1" w:rsidRDefault="004700C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577D1">
              <w:rPr>
                <w:rFonts w:ascii="Times New Roman" w:hAnsi="Times New Roman" w:cs="Times New Roman"/>
              </w:rPr>
              <w:t>Ārstniecības persona, kura veikusi zvanu (Vārds, Uzvārds)</w:t>
            </w:r>
          </w:p>
        </w:tc>
        <w:tc>
          <w:tcPr>
            <w:tcW w:w="1504" w:type="dxa"/>
          </w:tcPr>
          <w:p w14:paraId="16722989" w14:textId="2ED64A40" w:rsidR="004700CC" w:rsidRPr="002577D1" w:rsidRDefault="004700C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577D1">
              <w:rPr>
                <w:rFonts w:ascii="Times New Roman" w:hAnsi="Times New Roman" w:cs="Times New Roman"/>
              </w:rPr>
              <w:t>Konsultācijas rezultāts (Atteikums vai Piekrišana vakcinēties)</w:t>
            </w:r>
          </w:p>
        </w:tc>
        <w:tc>
          <w:tcPr>
            <w:tcW w:w="329" w:type="dxa"/>
          </w:tcPr>
          <w:p w14:paraId="34B02963" w14:textId="16BBEAC7" w:rsidR="004700CC" w:rsidRPr="002577D1" w:rsidRDefault="004700C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577D1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329" w:type="dxa"/>
          </w:tcPr>
          <w:p w14:paraId="653092C7" w14:textId="422A83DF" w:rsidR="004700CC" w:rsidRPr="002577D1" w:rsidRDefault="004700C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577D1">
              <w:rPr>
                <w:rFonts w:ascii="Times New Roman" w:hAnsi="Times New Roman" w:cs="Times New Roman"/>
              </w:rPr>
              <w:t>Tālruņa Nr., uz kuru zvanīts</w:t>
            </w:r>
          </w:p>
        </w:tc>
        <w:tc>
          <w:tcPr>
            <w:tcW w:w="329" w:type="dxa"/>
          </w:tcPr>
          <w:p w14:paraId="137BD801" w14:textId="7411E8F6" w:rsidR="004700CC" w:rsidRPr="002577D1" w:rsidRDefault="004700C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577D1">
              <w:rPr>
                <w:rFonts w:ascii="Times New Roman" w:hAnsi="Times New Roman" w:cs="Times New Roman"/>
              </w:rPr>
              <w:t>Ārstniecības persona, kura veikusi zvanu (Vārds, Uzvārds)</w:t>
            </w:r>
          </w:p>
        </w:tc>
        <w:tc>
          <w:tcPr>
            <w:tcW w:w="329" w:type="dxa"/>
          </w:tcPr>
          <w:p w14:paraId="111A4D92" w14:textId="6E23153C" w:rsidR="004700CC" w:rsidRPr="002577D1" w:rsidRDefault="004700C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577D1">
              <w:rPr>
                <w:rFonts w:ascii="Times New Roman" w:hAnsi="Times New Roman" w:cs="Times New Roman"/>
              </w:rPr>
              <w:t>Konsultācijas rezultāts (Atteikums vai Piekrišana vakcinēties)</w:t>
            </w:r>
          </w:p>
        </w:tc>
      </w:tr>
      <w:tr w:rsidR="006C038C" w:rsidRPr="006C038C" w14:paraId="3CBB1F15" w14:textId="77777777" w:rsidTr="004700CC">
        <w:tc>
          <w:tcPr>
            <w:tcW w:w="802" w:type="dxa"/>
          </w:tcPr>
          <w:p w14:paraId="4EE3EC34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8E96501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CD4903C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11AE2278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606D12CF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14:paraId="53777866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2952BBCB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65FB334F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70EC525C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35208C82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038C" w:rsidRPr="006C038C" w14:paraId="68053FC2" w14:textId="77777777" w:rsidTr="004700CC">
        <w:tc>
          <w:tcPr>
            <w:tcW w:w="802" w:type="dxa"/>
          </w:tcPr>
          <w:p w14:paraId="71A449E2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46B35A76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9A24857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11BE2BE4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47A68E16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14:paraId="5BA5CE0A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02DE2CA1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2062CB8C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0927700A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4901E043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038C" w:rsidRPr="006C038C" w14:paraId="2BCF327A" w14:textId="77777777" w:rsidTr="004700CC">
        <w:tc>
          <w:tcPr>
            <w:tcW w:w="802" w:type="dxa"/>
          </w:tcPr>
          <w:p w14:paraId="74879551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078344C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E7B026D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0018FFFF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5A21786E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14:paraId="511606E7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5513A575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6DBF55AA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604644A1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02C3C7A8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038C" w:rsidRPr="006C038C" w14:paraId="751CFE4D" w14:textId="77777777" w:rsidTr="004700CC">
        <w:tc>
          <w:tcPr>
            <w:tcW w:w="802" w:type="dxa"/>
          </w:tcPr>
          <w:p w14:paraId="0B66A39A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B9EF520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C2ED6F2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14:paraId="4BF8C161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211F7A4F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14:paraId="4FA3FAE5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60DD06FF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1A623C61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45B3239D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14:paraId="046A17BA" w14:textId="77777777" w:rsidR="006C038C" w:rsidRPr="006C038C" w:rsidRDefault="006C038C" w:rsidP="004700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5100FF" w14:textId="17B1DB42" w:rsidR="003561D2" w:rsidRPr="002577D1" w:rsidRDefault="003561D2" w:rsidP="002577D1">
      <w:pPr>
        <w:pStyle w:val="ListParagraph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77D1">
        <w:rPr>
          <w:rFonts w:ascii="Times New Roman" w:hAnsi="Times New Roman" w:cs="Times New Roman"/>
          <w:sz w:val="24"/>
          <w:szCs w:val="24"/>
        </w:rPr>
        <w:t xml:space="preserve">Ja </w:t>
      </w:r>
      <w:r w:rsidR="002577D1">
        <w:rPr>
          <w:rFonts w:ascii="Times New Roman" w:hAnsi="Times New Roman" w:cs="Times New Roman"/>
          <w:sz w:val="24"/>
          <w:szCs w:val="24"/>
        </w:rPr>
        <w:t>š</w:t>
      </w:r>
      <w:r w:rsidRPr="002577D1">
        <w:rPr>
          <w:rFonts w:ascii="Times New Roman" w:hAnsi="Times New Roman" w:cs="Times New Roman"/>
          <w:sz w:val="24"/>
          <w:szCs w:val="24"/>
        </w:rPr>
        <w:t>ī dokumenta 24.punktāminēto darbību rezultātā pacients piekrīt vakcinācijai</w:t>
      </w:r>
      <w:r w:rsidR="003D1749" w:rsidRPr="002577D1">
        <w:rPr>
          <w:rFonts w:ascii="Times New Roman" w:hAnsi="Times New Roman" w:cs="Times New Roman"/>
          <w:sz w:val="24"/>
          <w:szCs w:val="24"/>
        </w:rPr>
        <w:t xml:space="preserve"> pret Covid-19</w:t>
      </w:r>
      <w:r w:rsidRPr="002577D1">
        <w:rPr>
          <w:rFonts w:ascii="Times New Roman" w:hAnsi="Times New Roman" w:cs="Times New Roman"/>
          <w:sz w:val="24"/>
          <w:szCs w:val="24"/>
        </w:rPr>
        <w:t>, tad IZPILDĪTĀJA pienākums ir</w:t>
      </w:r>
      <w:r w:rsidR="003D1749" w:rsidRPr="002577D1">
        <w:rPr>
          <w:rFonts w:ascii="Times New Roman" w:hAnsi="Times New Roman" w:cs="Times New Roman"/>
          <w:sz w:val="24"/>
          <w:szCs w:val="24"/>
        </w:rPr>
        <w:t>:</w:t>
      </w:r>
    </w:p>
    <w:p w14:paraId="75EC6F17" w14:textId="2E10CAA2" w:rsidR="003D1749" w:rsidRPr="002577D1" w:rsidRDefault="003D1749" w:rsidP="002577D1">
      <w:pPr>
        <w:pStyle w:val="ListParagraph"/>
        <w:numPr>
          <w:ilvl w:val="1"/>
          <w:numId w:val="5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77D1">
        <w:rPr>
          <w:rFonts w:ascii="Times New Roman" w:hAnsi="Times New Roman" w:cs="Times New Roman"/>
          <w:sz w:val="24"/>
          <w:szCs w:val="24"/>
        </w:rPr>
        <w:t>piedāvāt personai vakcinācijas veikšanas datumu</w:t>
      </w:r>
      <w:r w:rsidR="000D7D36" w:rsidRPr="002577D1">
        <w:rPr>
          <w:rFonts w:ascii="Times New Roman" w:hAnsi="Times New Roman" w:cs="Times New Roman"/>
          <w:sz w:val="24"/>
          <w:szCs w:val="24"/>
        </w:rPr>
        <w:t>, veido pacientu pierakstu, kā arī veic vakcināciju atbilstoši normatīvam regulējumam un līgumam</w:t>
      </w:r>
      <w:r w:rsidRPr="002577D1">
        <w:rPr>
          <w:rFonts w:ascii="Times New Roman" w:hAnsi="Times New Roman" w:cs="Times New Roman"/>
          <w:sz w:val="24"/>
          <w:szCs w:val="24"/>
        </w:rPr>
        <w:t>, ja IZPILD</w:t>
      </w:r>
      <w:r w:rsidR="000D7D36" w:rsidRPr="002577D1">
        <w:rPr>
          <w:rFonts w:ascii="Times New Roman" w:hAnsi="Times New Roman" w:cs="Times New Roman"/>
          <w:sz w:val="24"/>
          <w:szCs w:val="24"/>
        </w:rPr>
        <w:t>Ī</w:t>
      </w:r>
      <w:r w:rsidRPr="002577D1">
        <w:rPr>
          <w:rFonts w:ascii="Times New Roman" w:hAnsi="Times New Roman" w:cs="Times New Roman"/>
          <w:sz w:val="24"/>
          <w:szCs w:val="24"/>
        </w:rPr>
        <w:t>TĀJAM ir noslēgts līgums ar DIENESTU par vakcinācijas veikšanu;</w:t>
      </w:r>
    </w:p>
    <w:p w14:paraId="3C99D1F6" w14:textId="553A6F35" w:rsidR="003D1749" w:rsidRPr="002577D1" w:rsidRDefault="003D1749" w:rsidP="002577D1">
      <w:pPr>
        <w:pStyle w:val="ListParagraph"/>
        <w:numPr>
          <w:ilvl w:val="1"/>
          <w:numId w:val="5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77D1">
        <w:rPr>
          <w:rFonts w:ascii="Times New Roman" w:hAnsi="Times New Roman" w:cs="Times New Roman"/>
          <w:sz w:val="24"/>
          <w:szCs w:val="24"/>
        </w:rPr>
        <w:t>veido un uztur vakcinējamo personu sarakstu, ko iesniegt vakcinācijas pakalpojumu sniedzējam, ar ko IZPILDĪTĀJAM ir noslēgts sadarbības līgums par IZPILDĪTĀJA reģistrēto pacientu vakcināciju.</w:t>
      </w:r>
    </w:p>
    <w:sectPr w:rsidR="003D1749" w:rsidRPr="002577D1" w:rsidSect="004549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8F9E" w14:textId="77777777" w:rsidR="005F4D8F" w:rsidRDefault="005F4D8F" w:rsidP="006D1FB5">
      <w:pPr>
        <w:spacing w:after="0" w:line="240" w:lineRule="auto"/>
      </w:pPr>
      <w:r>
        <w:separator/>
      </w:r>
    </w:p>
  </w:endnote>
  <w:endnote w:type="continuationSeparator" w:id="0">
    <w:p w14:paraId="6EE12F00" w14:textId="77777777" w:rsidR="005F4D8F" w:rsidRDefault="005F4D8F" w:rsidP="006D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B943" w14:textId="77777777" w:rsidR="005F4D8F" w:rsidRDefault="005F4D8F" w:rsidP="006D1FB5">
      <w:pPr>
        <w:spacing w:after="0" w:line="240" w:lineRule="auto"/>
      </w:pPr>
      <w:r>
        <w:separator/>
      </w:r>
    </w:p>
  </w:footnote>
  <w:footnote w:type="continuationSeparator" w:id="0">
    <w:p w14:paraId="48123312" w14:textId="77777777" w:rsidR="005F4D8F" w:rsidRDefault="005F4D8F" w:rsidP="006D1FB5">
      <w:pPr>
        <w:spacing w:after="0" w:line="240" w:lineRule="auto"/>
      </w:pPr>
      <w:r>
        <w:continuationSeparator/>
      </w:r>
    </w:p>
  </w:footnote>
  <w:footnote w:id="1">
    <w:p w14:paraId="4D218ED8" w14:textId="6ACD4B46" w:rsidR="00A13B2E" w:rsidRPr="00B375B3" w:rsidRDefault="00A13B2E" w:rsidP="00A13B2E">
      <w:pPr>
        <w:pStyle w:val="FootnoteText"/>
        <w:jc w:val="both"/>
      </w:pPr>
      <w:r w:rsidRPr="00B375B3">
        <w:rPr>
          <w:rStyle w:val="FootnoteReference"/>
        </w:rPr>
        <w:footnoteRef/>
      </w:r>
      <w:r w:rsidRPr="00B375B3">
        <w:t xml:space="preserve"> No 05.03.2020. </w:t>
      </w:r>
      <w:r w:rsidRPr="00B375B3">
        <w:rPr>
          <w:bCs/>
        </w:rPr>
        <w:t xml:space="preserve">no valsts budžeta tiek kompensēts pacienta </w:t>
      </w:r>
      <w:proofErr w:type="spellStart"/>
      <w:r w:rsidRPr="00B375B3">
        <w:rPr>
          <w:bCs/>
        </w:rPr>
        <w:t>līdzmaksājums</w:t>
      </w:r>
      <w:proofErr w:type="spellEnd"/>
      <w:r w:rsidRPr="00B375B3">
        <w:rPr>
          <w:bCs/>
        </w:rPr>
        <w:t xml:space="preserve"> par personām, kurām tiek sniegti primārās veselības aprūpes pakalpojumi, sakarā apstiprināto saslimšanas gadījumu ar COVID-19.Vairāk informācijas </w:t>
      </w:r>
      <w:r w:rsidRPr="00B375B3">
        <w:t xml:space="preserve">Slimību profilakses un kontroles centra mājas lapā </w:t>
      </w:r>
      <w:hyperlink r:id="rId1" w:history="1">
        <w:r w:rsidR="00134E65" w:rsidRPr="0017241D">
          <w:rPr>
            <w:rStyle w:val="Hyperlink"/>
          </w:rPr>
          <w:t>https://www.spkc.gov.lv/lv/aktualitates-par-covid-19</w:t>
        </w:r>
      </w:hyperlink>
      <w:r w:rsidR="00134E65">
        <w:t xml:space="preserve"> </w:t>
      </w:r>
    </w:p>
    <w:p w14:paraId="1B71CA90" w14:textId="77777777" w:rsidR="00A13B2E" w:rsidRPr="00B375B3" w:rsidRDefault="00A13B2E" w:rsidP="00A13B2E">
      <w:pPr>
        <w:pStyle w:val="FootnoteText"/>
        <w:jc w:val="both"/>
      </w:pPr>
    </w:p>
  </w:footnote>
  <w:footnote w:id="2">
    <w:p w14:paraId="7774C4D6" w14:textId="77777777" w:rsidR="00A13B2E" w:rsidRDefault="00A13B2E" w:rsidP="0076352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 xml:space="preserve">Atbilstoši </w:t>
      </w:r>
      <w:r w:rsidRPr="00461B30">
        <w:t>Ministru kabineta 28.08.20218. noteikumi Nr.555 “Veselības aprūpes pakalpojumu organizēšanas un samaksas kārtība”</w:t>
      </w:r>
      <w:r>
        <w:t xml:space="preserve"> (turpmāk – Noteikumi) 35.punktam</w:t>
      </w:r>
    </w:p>
  </w:footnote>
  <w:footnote w:id="3">
    <w:p w14:paraId="55B02D5E" w14:textId="77777777" w:rsidR="00A13B2E" w:rsidRPr="00B375B3" w:rsidRDefault="00A13B2E" w:rsidP="00763521">
      <w:pPr>
        <w:pStyle w:val="FootnoteText"/>
        <w:jc w:val="both"/>
      </w:pPr>
      <w:r w:rsidRPr="00B375B3">
        <w:rPr>
          <w:rStyle w:val="FootnoteReference"/>
        </w:rPr>
        <w:footnoteRef/>
      </w:r>
      <w:r w:rsidRPr="00B375B3">
        <w:t xml:space="preserve"> </w:t>
      </w:r>
      <w:r w:rsidRPr="00B375B3">
        <w:t xml:space="preserve">Atbilstoši  </w:t>
      </w:r>
      <w:r>
        <w:t>Noteikumu</w:t>
      </w:r>
      <w:r w:rsidRPr="00B375B3">
        <w:t xml:space="preserve"> 39.</w:t>
      </w:r>
      <w:r>
        <w:t>1-39.3., 39.5.-39.7.</w:t>
      </w:r>
      <w:r w:rsidRPr="00B375B3">
        <w:t>punktam</w:t>
      </w:r>
      <w:r>
        <w:t xml:space="preserve"> t.sk., ja pakalpojumus nodrošina aizvietotājs</w:t>
      </w:r>
      <w:r w:rsidRPr="00B375B3">
        <w:t xml:space="preserve"> un Līguma par primārās veselības aprūpes pakalpojumu sniegšanu un apmaksu 4. pielikumā </w:t>
      </w:r>
      <w:r>
        <w:t xml:space="preserve">“Ārstniecības personas, pamatdarbības teritorija, ārstniecības iestādes darba laiks un Nacionālā veselības dienesta mājas lapā publiskojamā prakses informācija” </w:t>
      </w:r>
      <w:r w:rsidRPr="00B375B3">
        <w:t>iekļautiem nosacījumiem.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5CFB"/>
    <w:multiLevelType w:val="multilevel"/>
    <w:tmpl w:val="287A1AA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9E62BF"/>
    <w:multiLevelType w:val="multilevel"/>
    <w:tmpl w:val="62CE1926"/>
    <w:lvl w:ilvl="0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3BC24650"/>
    <w:multiLevelType w:val="hybridMultilevel"/>
    <w:tmpl w:val="737854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22EBC"/>
    <w:multiLevelType w:val="multilevel"/>
    <w:tmpl w:val="5C4E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A07B6A"/>
    <w:multiLevelType w:val="multilevel"/>
    <w:tmpl w:val="CB5C2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76F27A4A"/>
    <w:multiLevelType w:val="hybridMultilevel"/>
    <w:tmpl w:val="5A5E199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21"/>
    <w:rsid w:val="00016132"/>
    <w:rsid w:val="00070013"/>
    <w:rsid w:val="000D02FA"/>
    <w:rsid w:val="000D7D36"/>
    <w:rsid w:val="001076CC"/>
    <w:rsid w:val="0012561C"/>
    <w:rsid w:val="00134E65"/>
    <w:rsid w:val="0015424F"/>
    <w:rsid w:val="001C29D5"/>
    <w:rsid w:val="001E7E99"/>
    <w:rsid w:val="001F2BB0"/>
    <w:rsid w:val="00252EE4"/>
    <w:rsid w:val="002577D1"/>
    <w:rsid w:val="002942FC"/>
    <w:rsid w:val="002B129B"/>
    <w:rsid w:val="002C5979"/>
    <w:rsid w:val="00320C76"/>
    <w:rsid w:val="003561D2"/>
    <w:rsid w:val="0039710B"/>
    <w:rsid w:val="003A33F3"/>
    <w:rsid w:val="003D1749"/>
    <w:rsid w:val="004016FE"/>
    <w:rsid w:val="00464D2E"/>
    <w:rsid w:val="004700CC"/>
    <w:rsid w:val="004B7F38"/>
    <w:rsid w:val="004D7196"/>
    <w:rsid w:val="0055736F"/>
    <w:rsid w:val="00575183"/>
    <w:rsid w:val="00594496"/>
    <w:rsid w:val="0059734C"/>
    <w:rsid w:val="005B2A05"/>
    <w:rsid w:val="005D4E34"/>
    <w:rsid w:val="005E61D1"/>
    <w:rsid w:val="005F4D8F"/>
    <w:rsid w:val="00607053"/>
    <w:rsid w:val="006242D8"/>
    <w:rsid w:val="0068033D"/>
    <w:rsid w:val="0068352D"/>
    <w:rsid w:val="006C038C"/>
    <w:rsid w:val="006D1FB5"/>
    <w:rsid w:val="00763521"/>
    <w:rsid w:val="00766849"/>
    <w:rsid w:val="0078740C"/>
    <w:rsid w:val="007B04B0"/>
    <w:rsid w:val="008259CD"/>
    <w:rsid w:val="00904F4A"/>
    <w:rsid w:val="00911BCF"/>
    <w:rsid w:val="00953F88"/>
    <w:rsid w:val="009D0C6D"/>
    <w:rsid w:val="009D1EBE"/>
    <w:rsid w:val="009E0744"/>
    <w:rsid w:val="009E7D82"/>
    <w:rsid w:val="00A13B2E"/>
    <w:rsid w:val="00A55FF8"/>
    <w:rsid w:val="00AB0AD7"/>
    <w:rsid w:val="00B574A5"/>
    <w:rsid w:val="00B91078"/>
    <w:rsid w:val="00B915CE"/>
    <w:rsid w:val="00BB0FDE"/>
    <w:rsid w:val="00BC3AF9"/>
    <w:rsid w:val="00BE1715"/>
    <w:rsid w:val="00BE69F3"/>
    <w:rsid w:val="00BF7893"/>
    <w:rsid w:val="00CA0CBF"/>
    <w:rsid w:val="00CD7912"/>
    <w:rsid w:val="00CE4F9E"/>
    <w:rsid w:val="00D17621"/>
    <w:rsid w:val="00D454FE"/>
    <w:rsid w:val="00D647F8"/>
    <w:rsid w:val="00D8412D"/>
    <w:rsid w:val="00D9179E"/>
    <w:rsid w:val="00DA09A3"/>
    <w:rsid w:val="00E00DD2"/>
    <w:rsid w:val="00E0125E"/>
    <w:rsid w:val="00E42A5D"/>
    <w:rsid w:val="00E608EA"/>
    <w:rsid w:val="00E752B1"/>
    <w:rsid w:val="00E92661"/>
    <w:rsid w:val="00F10CC5"/>
    <w:rsid w:val="00F4173D"/>
    <w:rsid w:val="00F47EAD"/>
    <w:rsid w:val="00F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6144E5"/>
  <w15:chartTrackingRefBased/>
  <w15:docId w15:val="{2EF8CE31-037A-481A-9313-05C6A0FC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F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FB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FB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F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1F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4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7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F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mnvd.gov.lv/lv/arstniecibas-pakalpojumu-sanemsanas-karti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pkc.gov.lv/lv/aktualitates-par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6496</Words>
  <Characters>3703</Characters>
  <Application>Microsoft Office Word</Application>
  <DocSecurity>4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Jūlija Voropajeva</cp:lastModifiedBy>
  <cp:revision>2</cp:revision>
  <dcterms:created xsi:type="dcterms:W3CDTF">2021-08-16T19:16:00Z</dcterms:created>
  <dcterms:modified xsi:type="dcterms:W3CDTF">2021-08-16T19:16:00Z</dcterms:modified>
</cp:coreProperties>
</file>