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6DD592E" w:rsidR="002C35F4" w:rsidRDefault="00235B55" w:rsidP="006C1832">
      <w:pPr>
        <w:spacing w:after="0" w:line="240" w:lineRule="auto"/>
        <w:rPr>
          <w:b/>
          <w:bCs/>
        </w:rPr>
      </w:pPr>
      <w:r>
        <w:rPr>
          <w:b/>
          <w:bCs/>
        </w:rPr>
        <w:t>02.07</w:t>
      </w:r>
      <w:r w:rsidR="00A80153">
        <w:rPr>
          <w:b/>
          <w:bCs/>
        </w:rPr>
        <w:t>.2021</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53501424" w14:textId="7F112664" w:rsidR="006721D1" w:rsidRDefault="00235B55" w:rsidP="00A80200">
      <w:pPr>
        <w:spacing w:after="0" w:line="240" w:lineRule="auto"/>
        <w:jc w:val="both"/>
        <w:rPr>
          <w:color w:val="000000"/>
          <w:sz w:val="24"/>
          <w:szCs w:val="24"/>
        </w:rPr>
      </w:pPr>
      <w:r>
        <w:rPr>
          <w:color w:val="000000"/>
          <w:sz w:val="24"/>
          <w:szCs w:val="24"/>
        </w:rPr>
        <w:t>P</w:t>
      </w:r>
      <w:r w:rsidRPr="00235B55">
        <w:rPr>
          <w:color w:val="000000"/>
          <w:sz w:val="24"/>
          <w:szCs w:val="24"/>
        </w:rPr>
        <w:t>ar skābekļa terapiju</w:t>
      </w:r>
    </w:p>
    <w:p w14:paraId="10DF1910" w14:textId="77777777" w:rsidR="00AF6417" w:rsidRDefault="00AF6417" w:rsidP="00A80200">
      <w:pPr>
        <w:spacing w:after="0" w:line="240" w:lineRule="auto"/>
        <w:jc w:val="both"/>
        <w:rPr>
          <w:color w:val="000000"/>
          <w:sz w:val="24"/>
          <w:szCs w:val="24"/>
        </w:rPr>
      </w:pPr>
    </w:p>
    <w:p w14:paraId="69D95C07" w14:textId="33FCE7D5"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330B783B" w14:textId="77777777" w:rsidR="00235B55" w:rsidRPr="00235B55" w:rsidRDefault="00235B55" w:rsidP="00235B55">
      <w:pPr>
        <w:ind w:firstLine="720"/>
        <w:jc w:val="both"/>
        <w:rPr>
          <w:rFonts w:cstheme="minorHAnsi"/>
        </w:rPr>
      </w:pPr>
      <w:r w:rsidRPr="00235B55">
        <w:rPr>
          <w:rFonts w:cstheme="minorHAnsi"/>
        </w:rPr>
        <w:t xml:space="preserve">Nacionālais veselības dienests (turpmāk – Dienests) informē, ka no 2021. gada 1. jūlija Labklājības ministrija nodrošina no valsts budžeta līdzekļiem apmaksātu skābekļa terapijas pakalpojumu mājās pacientiem ar hronisku elpošanas nepietiekamību. </w:t>
      </w:r>
    </w:p>
    <w:p w14:paraId="5A104AD8" w14:textId="77777777" w:rsidR="00235B55" w:rsidRPr="00235B55" w:rsidRDefault="00235B55" w:rsidP="00235B55">
      <w:pPr>
        <w:ind w:firstLine="720"/>
        <w:jc w:val="both"/>
        <w:rPr>
          <w:rFonts w:cstheme="minorHAnsi"/>
        </w:rPr>
      </w:pPr>
      <w:r w:rsidRPr="00235B55">
        <w:rPr>
          <w:rFonts w:cstheme="minorHAnsi"/>
        </w:rPr>
        <w:t xml:space="preserve">Lai pacienti varētu saņemt šādu pakalpojumu, no veselības aprūpes pakalpojumu apmaksai paredzētā finansējuma no 2021.gada 1.jūlija tiek apmaksāti jauni veselības aprūpes pakalpojumi, kas nepieciešami pacienta veselības stāvokļa novērtēšanai pirms skābekļa terapijas pakalpojuma mājās nozīmēšanas. </w:t>
      </w:r>
    </w:p>
    <w:p w14:paraId="27B7728A" w14:textId="77777777" w:rsidR="00235B55" w:rsidRPr="00235B55" w:rsidRDefault="00235B55" w:rsidP="00235B55">
      <w:pPr>
        <w:ind w:firstLine="720"/>
        <w:jc w:val="both"/>
        <w:rPr>
          <w:rFonts w:cstheme="minorHAnsi"/>
        </w:rPr>
      </w:pPr>
      <w:r w:rsidRPr="00235B55">
        <w:rPr>
          <w:rFonts w:cstheme="minorHAnsi"/>
        </w:rPr>
        <w:t xml:space="preserve">Lai saņemtu skābekļa terapijas pakalpojumu mājās, pacientam nepieciešama ārsta speciālista konsultācija, kuras ietvaros </w:t>
      </w:r>
      <w:proofErr w:type="spellStart"/>
      <w:r w:rsidRPr="00235B55">
        <w:rPr>
          <w:rFonts w:cstheme="minorHAnsi"/>
        </w:rPr>
        <w:t>pneimonologs</w:t>
      </w:r>
      <w:proofErr w:type="spellEnd"/>
      <w:r w:rsidRPr="00235B55">
        <w:rPr>
          <w:rFonts w:cstheme="minorHAnsi"/>
        </w:rPr>
        <w:t xml:space="preserve"> vai kardiologs atbilstoši pacienta veselības stāvoklim un diagnozei veiks apskates un izmeklējumus, tajā skaitā arī asins gāzu noteikšanu. Informācija par ārstniecības iestādēm, kas nodrošina šādus pakalpojumus pieejama Dienesta tīmekļa vietnē ( </w:t>
      </w:r>
      <w:hyperlink r:id="rId5" w:history="1">
        <w:r w:rsidRPr="00235B55">
          <w:rPr>
            <w:rStyle w:val="Hyperlink"/>
            <w:rFonts w:cstheme="minorHAnsi"/>
          </w:rPr>
          <w:t>https://www.vmnvd.gov.lv/lv/skabekla-terapija-majas</w:t>
        </w:r>
      </w:hyperlink>
      <w:r w:rsidRPr="00235B55">
        <w:rPr>
          <w:rFonts w:cstheme="minorHAnsi"/>
        </w:rPr>
        <w:t xml:space="preserve"> ).  </w:t>
      </w:r>
    </w:p>
    <w:p w14:paraId="1C0CF599" w14:textId="77777777" w:rsidR="00235B55" w:rsidRPr="00235B55" w:rsidRDefault="00235B55" w:rsidP="00235B55">
      <w:pPr>
        <w:ind w:firstLine="720"/>
        <w:jc w:val="both"/>
        <w:rPr>
          <w:rFonts w:cstheme="minorHAnsi"/>
        </w:rPr>
      </w:pPr>
      <w:r w:rsidRPr="00235B55">
        <w:rPr>
          <w:rFonts w:cstheme="minorHAnsi"/>
        </w:rPr>
        <w:t xml:space="preserve">Ņemot vērā minēto, Dienests lūdz ģimenes ārstus izvērtēt, kuriem pacientiem nepieciešams minētais pakalpojums, un informēt pacientus par pakalpojuma saņemšanas iespējām. Lai izvērtētu skābekļa terapijas pakalpojumu mājās nepieciešamību, ģimenes ārstam hronisku plaušu slimību pacientiem ar elpas trūkuma sajūtu vai hronisku plaušu slimību pacientiem stabilā remisijas periodā (t.i. pēc slimības uzliesmojuma pagājušas ne mazāk kā 8 nedēļas) jāveic pulsa </w:t>
      </w:r>
      <w:proofErr w:type="spellStart"/>
      <w:r w:rsidRPr="00235B55">
        <w:rPr>
          <w:rFonts w:cstheme="minorHAnsi"/>
        </w:rPr>
        <w:t>oksimetriju</w:t>
      </w:r>
      <w:proofErr w:type="spellEnd"/>
      <w:r w:rsidRPr="00235B55">
        <w:rPr>
          <w:rFonts w:cstheme="minorHAnsi"/>
        </w:rPr>
        <w:t>, kā ietvaros jānosaka SpO</w:t>
      </w:r>
      <w:r w:rsidRPr="00235B55">
        <w:rPr>
          <w:rFonts w:cstheme="minorHAnsi"/>
          <w:vertAlign w:val="subscript"/>
        </w:rPr>
        <w:t>2</w:t>
      </w:r>
      <w:r w:rsidRPr="00235B55">
        <w:rPr>
          <w:rFonts w:cstheme="minorHAnsi"/>
        </w:rPr>
        <w:t>  (miera stāvoklī, elpojot atmosfēras gaisu). Ja SpO</w:t>
      </w:r>
      <w:r w:rsidRPr="00235B55">
        <w:rPr>
          <w:rFonts w:cstheme="minorHAnsi"/>
          <w:vertAlign w:val="subscript"/>
        </w:rPr>
        <w:t>2</w:t>
      </w:r>
      <w:r w:rsidRPr="00235B55">
        <w:rPr>
          <w:rFonts w:cstheme="minorHAnsi"/>
        </w:rPr>
        <w:t xml:space="preserve">  rādījums pēc aptuveni 30 minūtēm ir ≤ 92%, tad pacientu nepieciešams nosūtīt pie </w:t>
      </w:r>
      <w:proofErr w:type="spellStart"/>
      <w:r w:rsidRPr="00235B55">
        <w:rPr>
          <w:rFonts w:cstheme="minorHAnsi"/>
        </w:rPr>
        <w:t>pneimonologa</w:t>
      </w:r>
      <w:proofErr w:type="spellEnd"/>
      <w:r w:rsidRPr="00235B55">
        <w:rPr>
          <w:rFonts w:cstheme="minorHAnsi"/>
        </w:rPr>
        <w:t xml:space="preserve"> vai kardiologa ilgstošas skābekļa terapijas indikāciju izvērtēšanai.</w:t>
      </w:r>
    </w:p>
    <w:p w14:paraId="2504D354" w14:textId="77777777" w:rsidR="00235B55" w:rsidRPr="00235B55" w:rsidRDefault="00235B55" w:rsidP="00235B55">
      <w:pPr>
        <w:ind w:firstLine="720"/>
        <w:jc w:val="both"/>
        <w:rPr>
          <w:rFonts w:cstheme="minorHAnsi"/>
        </w:rPr>
      </w:pPr>
      <w:r w:rsidRPr="00235B55">
        <w:rPr>
          <w:rFonts w:cstheme="minorHAnsi"/>
        </w:rPr>
        <w:t>Vienlaikus Dienests informē, ka pacientam pēc ārsta speciālista atzinuma saņemšanas būs nepieciešams vērsties VSAI “Nacionālā rehabilitācijas centra “Vaivari” (NRC “Vaivai”) Tehnisko palīglīdzekļu centrā, kas koordinēs skābekļa koncentratoru piegādi. Savukārt, pēc skābekļa koncentratora saņemšanas no NRC “Vaivari” Tehnisko palīglīdzekļu centra pacients nonāk ģimenes ārsta uzraudzībā, kur ģimenes ārstam (vai māsai) sākotnējā periodā nepieciešams veikt:</w:t>
      </w:r>
    </w:p>
    <w:p w14:paraId="452BF988" w14:textId="77777777" w:rsidR="00235B55" w:rsidRPr="00235B55" w:rsidRDefault="00235B55" w:rsidP="00235B55">
      <w:pPr>
        <w:pStyle w:val="ListParagraph"/>
        <w:numPr>
          <w:ilvl w:val="0"/>
          <w:numId w:val="22"/>
        </w:numPr>
        <w:jc w:val="both"/>
        <w:rPr>
          <w:rFonts w:asciiTheme="minorHAnsi" w:eastAsia="Times New Roman" w:hAnsiTheme="minorHAnsi" w:cstheme="minorHAnsi"/>
        </w:rPr>
      </w:pPr>
      <w:r w:rsidRPr="00235B55">
        <w:rPr>
          <w:rFonts w:asciiTheme="minorHAnsi" w:eastAsia="Times New Roman" w:hAnsiTheme="minorHAnsi" w:cstheme="minorHAnsi"/>
        </w:rPr>
        <w:t>pacientu un viņu tuvinieku uzvedības risku novērtēšanu, t.sk. smēķēšanas kaitīguma un ugunsdrošības izglītošanā;</w:t>
      </w:r>
    </w:p>
    <w:p w14:paraId="4310C334" w14:textId="77777777" w:rsidR="00235B55" w:rsidRPr="00235B55" w:rsidRDefault="00235B55" w:rsidP="00235B55">
      <w:pPr>
        <w:pStyle w:val="ListParagraph"/>
        <w:numPr>
          <w:ilvl w:val="0"/>
          <w:numId w:val="22"/>
        </w:numPr>
        <w:jc w:val="both"/>
        <w:rPr>
          <w:rFonts w:asciiTheme="minorHAnsi" w:eastAsia="Times New Roman" w:hAnsiTheme="minorHAnsi" w:cstheme="minorHAnsi"/>
        </w:rPr>
      </w:pPr>
      <w:r w:rsidRPr="00235B55">
        <w:rPr>
          <w:rFonts w:asciiTheme="minorHAnsi" w:eastAsia="Times New Roman" w:hAnsiTheme="minorHAnsi" w:cstheme="minorHAnsi"/>
        </w:rPr>
        <w:t xml:space="preserve">pacienta </w:t>
      </w:r>
      <w:proofErr w:type="spellStart"/>
      <w:r w:rsidRPr="00235B55">
        <w:rPr>
          <w:rFonts w:asciiTheme="minorHAnsi" w:eastAsia="Times New Roman" w:hAnsiTheme="minorHAnsi" w:cstheme="minorHAnsi"/>
        </w:rPr>
        <w:t>līdzestības</w:t>
      </w:r>
      <w:proofErr w:type="spellEnd"/>
      <w:r w:rsidRPr="00235B55">
        <w:rPr>
          <w:rFonts w:asciiTheme="minorHAnsi" w:eastAsia="Times New Roman" w:hAnsiTheme="minorHAnsi" w:cstheme="minorHAnsi"/>
        </w:rPr>
        <w:t xml:space="preserve"> un SpO</w:t>
      </w:r>
      <w:r w:rsidRPr="00235B55">
        <w:rPr>
          <w:rFonts w:asciiTheme="minorHAnsi" w:eastAsia="Times New Roman" w:hAnsiTheme="minorHAnsi" w:cstheme="minorHAnsi"/>
          <w:vertAlign w:val="subscript"/>
        </w:rPr>
        <w:t>2</w:t>
      </w:r>
      <w:r w:rsidRPr="00235B55">
        <w:rPr>
          <w:rFonts w:asciiTheme="minorHAnsi" w:eastAsia="Times New Roman" w:hAnsiTheme="minorHAnsi" w:cstheme="minorHAnsi"/>
        </w:rPr>
        <w:t xml:space="preserve"> radījuma kontroli;</w:t>
      </w:r>
    </w:p>
    <w:p w14:paraId="751D71D6" w14:textId="77777777" w:rsidR="00235B55" w:rsidRDefault="00235B55" w:rsidP="00235B55">
      <w:pPr>
        <w:pStyle w:val="ListParagraph"/>
        <w:numPr>
          <w:ilvl w:val="0"/>
          <w:numId w:val="22"/>
        </w:numPr>
        <w:jc w:val="both"/>
        <w:rPr>
          <w:rFonts w:ascii="Times New Roman" w:eastAsia="Times New Roman" w:hAnsi="Times New Roman" w:cs="Times New Roman"/>
        </w:rPr>
      </w:pPr>
      <w:proofErr w:type="spellStart"/>
      <w:r w:rsidRPr="00235B55">
        <w:rPr>
          <w:rFonts w:asciiTheme="minorHAnsi" w:eastAsia="Times New Roman" w:hAnsiTheme="minorHAnsi" w:cstheme="minorHAnsi"/>
        </w:rPr>
        <w:t>hiperkapnijas</w:t>
      </w:r>
      <w:proofErr w:type="spellEnd"/>
      <w:r w:rsidRPr="00235B55">
        <w:rPr>
          <w:rFonts w:asciiTheme="minorHAnsi" w:eastAsia="Times New Roman" w:hAnsiTheme="minorHAnsi" w:cstheme="minorHAnsi"/>
        </w:rPr>
        <w:t xml:space="preserve"> simptomu (galvassāpes, miegainība, gausums, trauksme) novērtēšanu.</w:t>
      </w:r>
    </w:p>
    <w:p w14:paraId="05A517AE" w14:textId="77777777" w:rsidR="00235B55" w:rsidRDefault="00235B55" w:rsidP="00235B55">
      <w:pPr>
        <w:jc w:val="both"/>
        <w:rPr>
          <w:rFonts w:ascii="Calibri" w:hAnsi="Calibri" w:cs="Calibri"/>
        </w:rPr>
      </w:pPr>
    </w:p>
    <w:p w14:paraId="0129D989" w14:textId="5D8C600B" w:rsidR="006721D1" w:rsidRPr="006721D1" w:rsidRDefault="00AF6417" w:rsidP="00235B55">
      <w:pPr>
        <w:pStyle w:val="xmsonormal"/>
        <w:jc w:val="both"/>
        <w:rPr>
          <w:b/>
          <w:bCs/>
        </w:rPr>
      </w:pPr>
      <w:r w:rsidRPr="00AF6417">
        <w:rPr>
          <w:rFonts w:asciiTheme="minorHAnsi" w:hAnsiTheme="minorHAnsi" w:cstheme="minorHAnsi"/>
          <w:sz w:val="24"/>
          <w:szCs w:val="24"/>
        </w:rPr>
        <w:t xml:space="preserve"> </w:t>
      </w:r>
    </w:p>
    <w:sectPr w:rsidR="006721D1" w:rsidRPr="006721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0"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6"/>
  </w:num>
  <w:num w:numId="6">
    <w:abstractNumId w:val="9"/>
  </w:num>
  <w:num w:numId="7">
    <w:abstractNumId w:val="14"/>
  </w:num>
  <w:num w:numId="8">
    <w:abstractNumId w:val="6"/>
  </w:num>
  <w:num w:numId="9">
    <w:abstractNumId w:val="1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7"/>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7F4C"/>
    <w:rsid w:val="000A04C5"/>
    <w:rsid w:val="000C6255"/>
    <w:rsid w:val="000E0C29"/>
    <w:rsid w:val="00186157"/>
    <w:rsid w:val="001E4A8F"/>
    <w:rsid w:val="0020798F"/>
    <w:rsid w:val="00235B55"/>
    <w:rsid w:val="002A78D1"/>
    <w:rsid w:val="002B79E1"/>
    <w:rsid w:val="002C35F4"/>
    <w:rsid w:val="003E3B83"/>
    <w:rsid w:val="00416FA7"/>
    <w:rsid w:val="004E2EB3"/>
    <w:rsid w:val="00574CB8"/>
    <w:rsid w:val="005D303E"/>
    <w:rsid w:val="00650EC2"/>
    <w:rsid w:val="006721D1"/>
    <w:rsid w:val="00674B5A"/>
    <w:rsid w:val="006C1832"/>
    <w:rsid w:val="006E1BC3"/>
    <w:rsid w:val="006F0546"/>
    <w:rsid w:val="006F60DD"/>
    <w:rsid w:val="00706C7B"/>
    <w:rsid w:val="007E6578"/>
    <w:rsid w:val="00923F48"/>
    <w:rsid w:val="00966793"/>
    <w:rsid w:val="009D6094"/>
    <w:rsid w:val="00A12D67"/>
    <w:rsid w:val="00A80153"/>
    <w:rsid w:val="00A80200"/>
    <w:rsid w:val="00AE4F9D"/>
    <w:rsid w:val="00AF6417"/>
    <w:rsid w:val="00B33DF3"/>
    <w:rsid w:val="00BA052E"/>
    <w:rsid w:val="00BF4208"/>
    <w:rsid w:val="00CF744E"/>
    <w:rsid w:val="00D459AA"/>
    <w:rsid w:val="00D61774"/>
    <w:rsid w:val="00EC2A53"/>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mnvd.gov.lv/lv/skabekla-terapija-maj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1610</Words>
  <Characters>919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2021-07-02T12:27:00Z</dcterms:created>
  <dcterms:modified xsi:type="dcterms:W3CDTF">2021-07-02T12:27:00Z</dcterms:modified>
</cp:coreProperties>
</file>