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BBCA932" w:rsidR="002C35F4" w:rsidRDefault="007E6578" w:rsidP="006C1832">
      <w:pPr>
        <w:spacing w:after="0" w:line="240" w:lineRule="auto"/>
        <w:rPr>
          <w:b/>
          <w:bCs/>
        </w:rPr>
      </w:pPr>
      <w:r>
        <w:rPr>
          <w:b/>
          <w:bCs/>
        </w:rPr>
        <w:t>30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  <w:r>
        <w:rPr>
          <w:b/>
          <w:bCs/>
        </w:rPr>
        <w:t>(1)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4C27B32" w14:textId="77777777" w:rsidR="007E6578" w:rsidRDefault="007E6578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 DNL izrakstīšanu</w:t>
      </w:r>
    </w:p>
    <w:p w14:paraId="0856B8D7" w14:textId="77777777" w:rsidR="007E6578" w:rsidRDefault="007E6578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791D4120" w14:textId="77777777" w:rsidR="007E6578" w:rsidRDefault="007E6578" w:rsidP="007E657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Nacionālais veselības dienests sadarbībā ar Veselības ministriju informē, ka no 2021.gada 1.jūlija ir izmaiņas Darbnespēju lapu izrakstīšanas kārtībā. Turpmāk DNL pieaugušajiem izrakstāma vispārējā kārtībā, vispirms A lapa un ja nepieciešams turpināt, B lapa no 11.dienas. Sīkāka informācija pielikumā.</w:t>
      </w:r>
    </w:p>
    <w:p w14:paraId="446FA220" w14:textId="77777777" w:rsidR="007E6578" w:rsidRDefault="007E6578" w:rsidP="007E6578">
      <w:pPr>
        <w:pStyle w:val="xxxmsonormal"/>
        <w:shd w:val="clear" w:color="auto" w:fill="FFFFFF"/>
        <w:spacing w:line="253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Papildus vēršam uzmanību, ka saskaņā ar Ministru Kabineta 2020. gada 9.jūnija noteikumiem Nr. 360 “</w:t>
      </w:r>
      <w:r>
        <w:rPr>
          <w:color w:val="000000"/>
          <w:sz w:val="24"/>
          <w:szCs w:val="24"/>
          <w:shd w:val="clear" w:color="auto" w:fill="FFFFFF"/>
        </w:rPr>
        <w:t>Epidemioloģiskās drošības pasākumi Covid-19 infekcijas izplatības ierobežošanai</w:t>
      </w:r>
      <w:r>
        <w:rPr>
          <w:color w:val="000000"/>
          <w:sz w:val="24"/>
          <w:szCs w:val="24"/>
        </w:rPr>
        <w:t>” </w:t>
      </w:r>
      <w:r>
        <w:rPr>
          <w:color w:val="000000"/>
          <w:sz w:val="24"/>
          <w:szCs w:val="24"/>
          <w:shd w:val="clear" w:color="auto" w:fill="FFFFFF"/>
        </w:rPr>
        <w:t>55.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punktu mājas karantīnu var neievērot: </w:t>
      </w:r>
    </w:p>
    <w:p w14:paraId="09AB7E1E" w14:textId="77777777" w:rsidR="007E6578" w:rsidRDefault="007E6578" w:rsidP="007E6578">
      <w:pPr>
        <w:pStyle w:val="xxxmsonormal"/>
        <w:numPr>
          <w:ilvl w:val="0"/>
          <w:numId w:val="12"/>
        </w:numPr>
        <w:shd w:val="clear" w:color="auto" w:fill="FFFFFF"/>
        <w:spacing w:line="253" w:lineRule="atLeas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persona, kas vakcinēta pret Covid-19, sākot ar piecpadsmito dienu pēc pilna vakcinācijas kursa pabeigšanas (....)  vai sākot ar divdesmit otro dienu līdz deviņdesmitajai dienai pēc vakcīnas "</w:t>
      </w:r>
      <w:proofErr w:type="spellStart"/>
      <w:r>
        <w:rPr>
          <w:rFonts w:eastAsia="Times New Roman"/>
          <w:color w:val="000000"/>
          <w:sz w:val="24"/>
          <w:szCs w:val="24"/>
        </w:rPr>
        <w:t>Vaxzevria</w:t>
      </w:r>
      <w:proofErr w:type="spellEnd"/>
      <w:r>
        <w:rPr>
          <w:rFonts w:eastAsia="Times New Roman"/>
          <w:color w:val="000000"/>
          <w:sz w:val="24"/>
          <w:szCs w:val="24"/>
        </w:rPr>
        <w:t>" pirmās devas saņemšanas un uzreiz pēc "</w:t>
      </w:r>
      <w:proofErr w:type="spellStart"/>
      <w:r>
        <w:rPr>
          <w:rFonts w:eastAsia="Times New Roman"/>
          <w:color w:val="000000"/>
          <w:sz w:val="24"/>
          <w:szCs w:val="24"/>
        </w:rPr>
        <w:t>Vaxzevria</w:t>
      </w:r>
      <w:proofErr w:type="spellEnd"/>
      <w:r>
        <w:rPr>
          <w:rFonts w:eastAsia="Times New Roman"/>
          <w:color w:val="000000"/>
          <w:sz w:val="24"/>
          <w:szCs w:val="24"/>
        </w:rPr>
        <w:t>" otrās devas saņemšanas. </w:t>
      </w:r>
    </w:p>
    <w:p w14:paraId="13120C3C" w14:textId="77777777" w:rsidR="007E6578" w:rsidRDefault="007E6578" w:rsidP="007E6578">
      <w:pPr>
        <w:pStyle w:val="xxxmsonormal"/>
        <w:numPr>
          <w:ilvl w:val="0"/>
          <w:numId w:val="12"/>
        </w:numPr>
        <w:shd w:val="clear" w:color="auto" w:fill="FFFFFF"/>
        <w:spacing w:line="253" w:lineRule="atLeas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Šo personu pienākums ir nedēļas laikā pēc kontakta ar inficēto personu veikt Covid-19 testu un, ja tests ir pozitīvs, ievērot šo noteikumu 54. punktā minētos izolācijas nosacījumus. </w:t>
      </w:r>
    </w:p>
    <w:p w14:paraId="366C0A47" w14:textId="77777777" w:rsidR="007E6578" w:rsidRDefault="007E6578" w:rsidP="007E6578">
      <w:pPr>
        <w:pStyle w:val="xxxmsonormal"/>
        <w:numPr>
          <w:ilvl w:val="0"/>
          <w:numId w:val="12"/>
        </w:numPr>
        <w:shd w:val="clear" w:color="auto" w:fill="FFFFFF"/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4"/>
          <w:szCs w:val="24"/>
        </w:rPr>
        <w:t>Persona, kura var dokumentāri pierādīt Covid-19 inficēšanās epizodi, sākot ar brīdi, kad ārsts ir pārtraucis personas izolāciju, līdz 180 dienai pēc parauga ņemšanas datuma, ar kuru laboratoriski tika apstiprināta Covid-19 infekcija, n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osakot SARS-CoV-2 vīrusa RNS.</w:t>
      </w:r>
      <w:r>
        <w:rPr>
          <w:rFonts w:eastAsia="Times New Roman"/>
          <w:color w:val="000000"/>
          <w:sz w:val="24"/>
          <w:szCs w:val="24"/>
        </w:rPr>
        <w:t> </w:t>
      </w:r>
    </w:p>
    <w:p w14:paraId="6E399489" w14:textId="77777777" w:rsidR="007E6578" w:rsidRDefault="007E6578" w:rsidP="007E6578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60B11B35" w14:textId="2CFFD921" w:rsidR="007E6578" w:rsidRDefault="007E6578" w:rsidP="007E657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Tātad DNL neizsniedz personām, kam nav jāievēro mājas karantīna.</w:t>
      </w:r>
    </w:p>
    <w:p w14:paraId="6BFEF6A7" w14:textId="3678AF51" w:rsidR="000A04C5" w:rsidRPr="00EC2A53" w:rsidRDefault="007E6578" w:rsidP="007E6578">
      <w:pPr>
        <w:jc w:val="both"/>
        <w:rPr>
          <w:b/>
          <w:bCs/>
        </w:rPr>
      </w:pPr>
      <w:r>
        <w:object w:dxaOrig="1540" w:dyaOrig="997" w14:anchorId="40311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5" o:title=""/>
          </v:shape>
          <o:OLEObject Type="Embed" ProgID="AcroExch.Document.DC" ShapeID="_x0000_i1029" DrawAspect="Icon" ObjectID="_1686577324" r:id="rId6"/>
        </w:object>
      </w:r>
    </w:p>
    <w:sectPr w:rsidR="000A04C5" w:rsidRPr="00EC2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A04C5"/>
    <w:rsid w:val="000C6255"/>
    <w:rsid w:val="000E0C29"/>
    <w:rsid w:val="00186157"/>
    <w:rsid w:val="001E4A8F"/>
    <w:rsid w:val="0020798F"/>
    <w:rsid w:val="002A78D1"/>
    <w:rsid w:val="002B79E1"/>
    <w:rsid w:val="002C35F4"/>
    <w:rsid w:val="003E3B83"/>
    <w:rsid w:val="00416FA7"/>
    <w:rsid w:val="004E2EB3"/>
    <w:rsid w:val="00574CB8"/>
    <w:rsid w:val="005D303E"/>
    <w:rsid w:val="00674B5A"/>
    <w:rsid w:val="006C1832"/>
    <w:rsid w:val="006E1BC3"/>
    <w:rsid w:val="006F0546"/>
    <w:rsid w:val="006F60DD"/>
    <w:rsid w:val="00706C7B"/>
    <w:rsid w:val="007E6578"/>
    <w:rsid w:val="00923F48"/>
    <w:rsid w:val="00966793"/>
    <w:rsid w:val="009D6094"/>
    <w:rsid w:val="00A12D67"/>
    <w:rsid w:val="00A80153"/>
    <w:rsid w:val="00A80200"/>
    <w:rsid w:val="00AE4F9D"/>
    <w:rsid w:val="00B33DF3"/>
    <w:rsid w:val="00BA052E"/>
    <w:rsid w:val="00BF4208"/>
    <w:rsid w:val="00CF744E"/>
    <w:rsid w:val="00D459AA"/>
    <w:rsid w:val="00D61774"/>
    <w:rsid w:val="00EC2A53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2021-06-30T13:56:00Z</dcterms:created>
  <dcterms:modified xsi:type="dcterms:W3CDTF">2021-06-30T13:56:00Z</dcterms:modified>
</cp:coreProperties>
</file>