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B1F0" w14:textId="241030E9" w:rsidR="008E2935" w:rsidRDefault="008E2935" w:rsidP="008E2935">
      <w:pPr>
        <w:pStyle w:val="NoSpacing"/>
        <w:rPr>
          <w:rStyle w:val="Strong"/>
          <w:rFonts w:cstheme="minorHAnsi"/>
          <w:b w:val="0"/>
          <w:bCs w:val="0"/>
          <w:color w:val="212529"/>
          <w:shd w:val="clear" w:color="auto" w:fill="FFFFFF"/>
        </w:rPr>
      </w:pPr>
    </w:p>
    <w:p w14:paraId="75A681E1" w14:textId="15DCD194" w:rsidR="0057123D" w:rsidRDefault="008162B9" w:rsidP="0057123D">
      <w:pPr>
        <w:pStyle w:val="NoSpacing"/>
        <w:rPr>
          <w:rStyle w:val="Strong"/>
          <w:rFonts w:cstheme="minorHAnsi"/>
          <w:color w:val="212529"/>
          <w:shd w:val="clear" w:color="auto" w:fill="FFFFFF"/>
        </w:rPr>
      </w:pPr>
      <w:r>
        <w:rPr>
          <w:rStyle w:val="Strong"/>
          <w:rFonts w:cstheme="minorHAnsi"/>
          <w:color w:val="212529"/>
          <w:shd w:val="clear" w:color="auto" w:fill="FFFFFF"/>
        </w:rPr>
        <w:t>1</w:t>
      </w:r>
      <w:r w:rsidR="0057123D">
        <w:rPr>
          <w:rStyle w:val="Strong"/>
          <w:rFonts w:cstheme="minorHAnsi"/>
          <w:color w:val="212529"/>
          <w:shd w:val="clear" w:color="auto" w:fill="FFFFFF"/>
        </w:rPr>
        <w:t>9.04.2021.</w:t>
      </w:r>
    </w:p>
    <w:p w14:paraId="0FD1856F" w14:textId="77777777" w:rsidR="0057123D" w:rsidRPr="00AE5CC0" w:rsidRDefault="0057123D" w:rsidP="0057123D">
      <w:pPr>
        <w:pStyle w:val="NoSpacing"/>
        <w:rPr>
          <w:rStyle w:val="Strong"/>
          <w:rFonts w:cstheme="minorHAnsi"/>
          <w:color w:val="212529"/>
          <w:shd w:val="clear" w:color="auto" w:fill="FFFFFF"/>
        </w:rPr>
      </w:pPr>
      <w:r w:rsidRPr="00AE5CC0">
        <w:rPr>
          <w:rStyle w:val="Strong"/>
          <w:rFonts w:cstheme="minorHAnsi"/>
          <w:color w:val="212529"/>
          <w:shd w:val="clear" w:color="auto" w:fill="FFFFFF"/>
        </w:rPr>
        <w:t>E-pasta nosaukums</w:t>
      </w:r>
    </w:p>
    <w:p w14:paraId="2637CBBB" w14:textId="2BEC25A5" w:rsidR="0057123D" w:rsidRPr="008162B9" w:rsidRDefault="008162B9" w:rsidP="0057123D">
      <w:pPr>
        <w:pStyle w:val="NoSpacing"/>
        <w:rPr>
          <w:rFonts w:asciiTheme="minorHAnsi" w:hAnsiTheme="minorHAnsi" w:cstheme="minorHAnsi"/>
        </w:rPr>
      </w:pPr>
      <w:r w:rsidRPr="008162B9">
        <w:rPr>
          <w:rFonts w:asciiTheme="minorHAnsi" w:hAnsiTheme="minorHAnsi" w:cstheme="minorHAnsi"/>
        </w:rPr>
        <w:t>Jauna prioritāri vakcinējama personu grupa</w:t>
      </w:r>
    </w:p>
    <w:p w14:paraId="1D6D03CF" w14:textId="77777777" w:rsidR="008162B9" w:rsidRPr="00AE5CC0" w:rsidRDefault="008162B9" w:rsidP="0057123D">
      <w:pPr>
        <w:pStyle w:val="NoSpacing"/>
        <w:rPr>
          <w:rStyle w:val="Strong"/>
          <w:rFonts w:cstheme="minorHAnsi"/>
          <w:color w:val="212529"/>
          <w:shd w:val="clear" w:color="auto" w:fill="FFFFFF"/>
        </w:rPr>
      </w:pPr>
    </w:p>
    <w:p w14:paraId="458F927C" w14:textId="77777777" w:rsidR="0057123D" w:rsidRPr="00AE5CC0" w:rsidRDefault="0057123D" w:rsidP="0057123D">
      <w:pPr>
        <w:pStyle w:val="NoSpacing"/>
        <w:rPr>
          <w:rStyle w:val="Strong"/>
          <w:rFonts w:cstheme="minorHAnsi"/>
          <w:color w:val="212529"/>
          <w:shd w:val="clear" w:color="auto" w:fill="FFFFFF"/>
        </w:rPr>
      </w:pPr>
      <w:r w:rsidRPr="00AE5CC0">
        <w:rPr>
          <w:rStyle w:val="Strong"/>
          <w:rFonts w:cstheme="minorHAnsi"/>
          <w:color w:val="212529"/>
          <w:shd w:val="clear" w:color="auto" w:fill="FFFFFF"/>
        </w:rPr>
        <w:t>E-pasta teksts</w:t>
      </w:r>
    </w:p>
    <w:p w14:paraId="66EE6816" w14:textId="77777777" w:rsidR="008162B9" w:rsidRPr="008162B9" w:rsidRDefault="008162B9" w:rsidP="0033322D">
      <w:pPr>
        <w:spacing w:after="0" w:line="240" w:lineRule="auto"/>
        <w:jc w:val="both"/>
        <w:rPr>
          <w:rFonts w:cstheme="minorHAnsi"/>
        </w:rPr>
      </w:pPr>
      <w:r w:rsidRPr="008162B9">
        <w:rPr>
          <w:rFonts w:cstheme="minorHAnsi"/>
        </w:rPr>
        <w:t>Nacionālais veselības dienests informē, ka 16.04.21 VM ar rīkojumu Nr.103 “Par V prioritāri vakcinējamo grupā iekļauto personu vakcinācijas uzsākšanu” ir apstiprinājusi jaunu prioritāri vakcinējamo personu grupu no 20.04.21.</w:t>
      </w:r>
    </w:p>
    <w:p w14:paraId="631C0D13" w14:textId="3043AECA" w:rsidR="008162B9" w:rsidRDefault="008162B9" w:rsidP="0033322D">
      <w:pPr>
        <w:spacing w:after="0" w:line="240" w:lineRule="auto"/>
        <w:jc w:val="both"/>
        <w:rPr>
          <w:rFonts w:cstheme="minorHAnsi"/>
        </w:rPr>
      </w:pPr>
      <w:r w:rsidRPr="008162B9">
        <w:rPr>
          <w:rFonts w:cstheme="minorHAnsi"/>
        </w:rPr>
        <w:t xml:space="preserve">Vakcinējamo personu saraksti tiks saņemti  no nozaru ministrijām, iestāžu vai uzņēmumu vadītājiem un ievietoti </w:t>
      </w:r>
      <w:proofErr w:type="spellStart"/>
      <w:r w:rsidRPr="008162B9">
        <w:rPr>
          <w:rFonts w:cstheme="minorHAnsi"/>
        </w:rPr>
        <w:t>ViVaT</w:t>
      </w:r>
      <w:proofErr w:type="spellEnd"/>
      <w:r w:rsidRPr="008162B9">
        <w:rPr>
          <w:rFonts w:cstheme="minorHAnsi"/>
        </w:rPr>
        <w:t>.</w:t>
      </w:r>
    </w:p>
    <w:p w14:paraId="2F9543C4" w14:textId="77777777" w:rsidR="008162B9" w:rsidRPr="008162B9" w:rsidRDefault="008162B9" w:rsidP="008162B9">
      <w:pPr>
        <w:spacing w:after="0" w:line="240" w:lineRule="auto"/>
        <w:rPr>
          <w:rFonts w:cstheme="minorHAnsi"/>
        </w:rPr>
      </w:pPr>
    </w:p>
    <w:p w14:paraId="00F60686" w14:textId="77777777" w:rsidR="008162B9" w:rsidRPr="008162B9" w:rsidRDefault="008162B9" w:rsidP="0033322D">
      <w:pPr>
        <w:jc w:val="both"/>
        <w:rPr>
          <w:rFonts w:cstheme="minorHAnsi"/>
        </w:rPr>
      </w:pPr>
      <w:r w:rsidRPr="008162B9">
        <w:rPr>
          <w:rFonts w:cstheme="minorHAnsi"/>
          <w:color w:val="C55A11"/>
        </w:rPr>
        <w:t>No 20.04.21 vakcinēt pret Covid-19 var:</w:t>
      </w:r>
    </w:p>
    <w:p w14:paraId="7964ED50"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Izglītības iestāžu darbinieki, kas, veicot darba pienākumus, ir ciešā saskarē ar izglītojamiem (izņemot pirmsskolas, speciālās izglītības iestāžu un 1.–6. klašu pedagogus un darbiniekus, kas, veicot darba pienākumus, nonāk ciešā saskarē ar bērniem)</w:t>
      </w:r>
    </w:p>
    <w:p w14:paraId="2FF0FD77"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Operatīvo dienestu darbinieki, t. sk. valsts un pašvaldību policisti; robežsardzes darbinieki; VID operatīvie darbinieki, muitnieki; VUGD darbinieki</w:t>
      </w:r>
    </w:p>
    <w:p w14:paraId="4B3896B8"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Ieslodzījuma vietu pārvaldes/Valsts probācijas dienesta darbinieki</w:t>
      </w:r>
    </w:p>
    <w:p w14:paraId="54FAFE8A"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Korupcijas novēršanas un apkarošanas biroja darbinieki</w:t>
      </w:r>
    </w:p>
    <w:p w14:paraId="3C03CAFA"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Nacionālie bruņotie spēki (t. sk. Zemessardze)</w:t>
      </w:r>
    </w:p>
    <w:p w14:paraId="788EA04C"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Kritiski svarīgie energoapgādes un informācijas un komunikācijas tehnoloģiju komersanti</w:t>
      </w:r>
    </w:p>
    <w:p w14:paraId="12A88EC1"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Saeimas kritiski svarīgie darbinieki</w:t>
      </w:r>
    </w:p>
    <w:p w14:paraId="6779416D"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Latvijas Bankas kritiski svarīgie darbinieki</w:t>
      </w:r>
    </w:p>
    <w:p w14:paraId="31CFDF18"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Kritisko tirgus uzraudzības iestāžu darbinieki</w:t>
      </w:r>
    </w:p>
    <w:p w14:paraId="0EAE7629"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Satiksmes nozares kritiski svarīgie darbinieki</w:t>
      </w:r>
    </w:p>
    <w:p w14:paraId="55F7BF96"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Kritiski svarīgie kultūras jomas pārstāvji</w:t>
      </w:r>
    </w:p>
    <w:p w14:paraId="1C7DBC47"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Vides aizsardzības sektoram kritiski svarīgie darbinieki</w:t>
      </w:r>
    </w:p>
    <w:p w14:paraId="1EACC105"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Bāriņtiesu, sociālo dienestu un sociālās aprūpes centru kritiski svarīgie darbinieki, kā arī psihologi, kas, veicot darba pienākumus, nonāk ciešā saskarē ar klientiem</w:t>
      </w:r>
    </w:p>
    <w:p w14:paraId="64758C65"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Kritiski svarīgie ūdenssaimniecību darbinieki</w:t>
      </w:r>
    </w:p>
    <w:p w14:paraId="0C97E5A5" w14:textId="77777777" w:rsidR="008162B9" w:rsidRPr="008162B9" w:rsidRDefault="008162B9" w:rsidP="0033322D">
      <w:pPr>
        <w:pStyle w:val="ListParagraph"/>
        <w:numPr>
          <w:ilvl w:val="0"/>
          <w:numId w:val="1"/>
        </w:numPr>
        <w:jc w:val="both"/>
        <w:rPr>
          <w:rFonts w:asciiTheme="minorHAnsi" w:eastAsia="Times New Roman" w:hAnsiTheme="minorHAnsi" w:cstheme="minorHAnsi"/>
        </w:rPr>
      </w:pPr>
      <w:r w:rsidRPr="008162B9">
        <w:rPr>
          <w:rFonts w:asciiTheme="minorHAnsi" w:eastAsia="Times New Roman" w:hAnsiTheme="minorHAnsi" w:cstheme="minorHAnsi"/>
        </w:rPr>
        <w:t xml:space="preserve">Zinātniskie darbinieki, kas strādā ar </w:t>
      </w:r>
      <w:proofErr w:type="spellStart"/>
      <w:r w:rsidRPr="008162B9">
        <w:rPr>
          <w:rFonts w:asciiTheme="minorHAnsi" w:eastAsia="Times New Roman" w:hAnsiTheme="minorHAnsi" w:cstheme="minorHAnsi"/>
        </w:rPr>
        <w:t>koronavīrusiem</w:t>
      </w:r>
      <w:proofErr w:type="spellEnd"/>
      <w:r w:rsidRPr="008162B9">
        <w:rPr>
          <w:rFonts w:asciiTheme="minorHAnsi" w:eastAsia="Times New Roman" w:hAnsiTheme="minorHAnsi" w:cstheme="minorHAnsi"/>
        </w:rPr>
        <w:t>, citiem patogēniem vīrusiem un eksperimentālajiem dzīvniekiem, kā arī izstrādā jaunas vakcīnas</w:t>
      </w:r>
    </w:p>
    <w:p w14:paraId="7614661C" w14:textId="77777777" w:rsidR="008162B9" w:rsidRDefault="008162B9" w:rsidP="0033322D">
      <w:pPr>
        <w:jc w:val="both"/>
        <w:rPr>
          <w:rFonts w:cstheme="minorHAnsi"/>
        </w:rPr>
      </w:pPr>
    </w:p>
    <w:p w14:paraId="4F9189BD" w14:textId="2BC31549" w:rsidR="008162B9" w:rsidRPr="008162B9" w:rsidRDefault="008162B9" w:rsidP="0033322D">
      <w:pPr>
        <w:spacing w:after="0" w:line="240" w:lineRule="auto"/>
        <w:jc w:val="both"/>
        <w:rPr>
          <w:rFonts w:cstheme="minorHAnsi"/>
        </w:rPr>
      </w:pPr>
      <w:r w:rsidRPr="008162B9">
        <w:rPr>
          <w:rFonts w:cstheme="minorHAnsi"/>
        </w:rPr>
        <w:t xml:space="preserve">Nacionālais veselības dienests vērš uzmanību, ka ir atjaunota Covid-19 rokasgrāmatas versija, kurā viens no precizējumiem, ka </w:t>
      </w:r>
    </w:p>
    <w:p w14:paraId="1D5E0761" w14:textId="77777777" w:rsidR="008162B9" w:rsidRPr="008162B9" w:rsidRDefault="008162B9" w:rsidP="0033322D">
      <w:pPr>
        <w:spacing w:after="0" w:line="240" w:lineRule="auto"/>
        <w:jc w:val="both"/>
        <w:rPr>
          <w:rFonts w:cstheme="minorHAnsi"/>
        </w:rPr>
      </w:pPr>
      <w:proofErr w:type="spellStart"/>
      <w:r w:rsidRPr="008162B9">
        <w:rPr>
          <w:rFonts w:cstheme="minorHAnsi"/>
        </w:rPr>
        <w:t>Vaxzevria</w:t>
      </w:r>
      <w:proofErr w:type="spellEnd"/>
      <w:r w:rsidRPr="008162B9">
        <w:rPr>
          <w:rFonts w:cstheme="minorHAnsi"/>
        </w:rPr>
        <w:t xml:space="preserve"> (</w:t>
      </w:r>
      <w:proofErr w:type="spellStart"/>
      <w:r w:rsidRPr="008162B9">
        <w:rPr>
          <w:rFonts w:cstheme="minorHAnsi"/>
        </w:rPr>
        <w:t>AstraZeneca</w:t>
      </w:r>
      <w:proofErr w:type="spellEnd"/>
      <w:r w:rsidRPr="008162B9">
        <w:rPr>
          <w:rFonts w:cstheme="minorHAnsi"/>
        </w:rPr>
        <w:t xml:space="preserve">) vakcīnai 2. devas rekomendētais intervāls ir 9-12 nedēļas. 2. devas saņemšanas vizīte plānojama tuvāk 12. nedēļai, kas zinātniskajās publikācijās uzrāda augstāku iedarbīgumu pret simptomātisku Covid-19 </w:t>
      </w:r>
      <w:r w:rsidRPr="008162B9">
        <w:rPr>
          <w:rFonts w:cstheme="minorHAnsi"/>
          <w:color w:val="000000"/>
        </w:rPr>
        <w:t xml:space="preserve">un ir būtiski 1.devas aptveres palielināšanai </w:t>
      </w:r>
      <w:r w:rsidRPr="008162B9">
        <w:rPr>
          <w:rFonts w:cstheme="minorHAnsi"/>
        </w:rPr>
        <w:t>(vakcinācijas rokasgrāmata 12.lpp.).</w:t>
      </w:r>
    </w:p>
    <w:p w14:paraId="36B37273" w14:textId="77777777" w:rsidR="008162B9" w:rsidRPr="008162B9" w:rsidRDefault="008162B9" w:rsidP="0033322D">
      <w:pPr>
        <w:spacing w:after="0" w:line="240" w:lineRule="auto"/>
        <w:jc w:val="both"/>
        <w:rPr>
          <w:rFonts w:cstheme="minorHAnsi"/>
        </w:rPr>
      </w:pPr>
      <w:r w:rsidRPr="008162B9">
        <w:rPr>
          <w:rFonts w:cstheme="minorHAnsi"/>
        </w:rPr>
        <w:t>Citi papildinājumi iezīmēti zilā krāsā, lai tiem būtu vieglāk izsekot.</w:t>
      </w:r>
    </w:p>
    <w:p w14:paraId="1D3A6E4F" w14:textId="77777777" w:rsidR="008162B9" w:rsidRPr="008162B9" w:rsidRDefault="008A6037" w:rsidP="008162B9">
      <w:pPr>
        <w:rPr>
          <w:rFonts w:cstheme="minorHAnsi"/>
        </w:rPr>
      </w:pPr>
      <w:hyperlink r:id="rId5" w:history="1">
        <w:r w:rsidR="008162B9" w:rsidRPr="008162B9">
          <w:rPr>
            <w:rStyle w:val="Hyperlink"/>
            <w:rFonts w:cstheme="minorHAnsi"/>
          </w:rPr>
          <w:t>https://www.vmnvd.gov.lv/lv/vakcinacijas-rokasgramata-informativais-materials-vakcinacijas-veicejiem</w:t>
        </w:r>
      </w:hyperlink>
      <w:r w:rsidR="008162B9" w:rsidRPr="008162B9">
        <w:rPr>
          <w:rFonts w:cstheme="minorHAnsi"/>
        </w:rPr>
        <w:t xml:space="preserve">. </w:t>
      </w:r>
    </w:p>
    <w:bookmarkStart w:id="0" w:name="_MON_1680791929"/>
    <w:bookmarkEnd w:id="0"/>
    <w:p w14:paraId="65A69FF1" w14:textId="377EBC6D" w:rsidR="008162B9" w:rsidRDefault="00663604" w:rsidP="008162B9">
      <w:pPr>
        <w:rPr>
          <w:rFonts w:ascii="Times New Roman" w:hAnsi="Times New Roman" w:cs="Times New Roman"/>
          <w:sz w:val="24"/>
          <w:szCs w:val="24"/>
        </w:rPr>
      </w:pPr>
      <w:r>
        <w:object w:dxaOrig="1579" w:dyaOrig="1022" w14:anchorId="10F01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pt;height:51pt" o:ole="">
            <v:imagedata r:id="rId6" o:title=""/>
          </v:shape>
          <o:OLEObject Type="Embed" ProgID="Word.Document.12" ShapeID="_x0000_i1029" DrawAspect="Icon" ObjectID="_1680792016" r:id="rId7">
            <o:FieldCodes>\s</o:FieldCodes>
          </o:OLEObject>
        </w:object>
      </w:r>
    </w:p>
    <w:sectPr w:rsidR="008162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429BD"/>
    <w:multiLevelType w:val="hybridMultilevel"/>
    <w:tmpl w:val="722202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AF801E3"/>
    <w:multiLevelType w:val="hybridMultilevel"/>
    <w:tmpl w:val="45DEB5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76F0397"/>
    <w:multiLevelType w:val="hybridMultilevel"/>
    <w:tmpl w:val="BC6AE49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7FA82988"/>
    <w:multiLevelType w:val="hybridMultilevel"/>
    <w:tmpl w:val="23D879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3D"/>
    <w:rsid w:val="000D4005"/>
    <w:rsid w:val="00186157"/>
    <w:rsid w:val="003121C4"/>
    <w:rsid w:val="0033322D"/>
    <w:rsid w:val="00416FA7"/>
    <w:rsid w:val="004A69A9"/>
    <w:rsid w:val="0051619C"/>
    <w:rsid w:val="0057123D"/>
    <w:rsid w:val="00663604"/>
    <w:rsid w:val="008162B9"/>
    <w:rsid w:val="008A6037"/>
    <w:rsid w:val="008E2935"/>
    <w:rsid w:val="00A87F85"/>
    <w:rsid w:val="00CA1B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246964"/>
  <w15:chartTrackingRefBased/>
  <w15:docId w15:val="{4964CCEE-2840-4E2D-BF31-A856EC5F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123D"/>
    <w:pPr>
      <w:spacing w:after="0" w:line="240" w:lineRule="auto"/>
    </w:pPr>
    <w:rPr>
      <w:rFonts w:ascii="Calibri" w:hAnsi="Calibri" w:cs="Calibri"/>
    </w:rPr>
  </w:style>
  <w:style w:type="character" w:styleId="Strong">
    <w:name w:val="Strong"/>
    <w:basedOn w:val="DefaultParagraphFont"/>
    <w:uiPriority w:val="22"/>
    <w:qFormat/>
    <w:rsid w:val="0057123D"/>
    <w:rPr>
      <w:b/>
      <w:bCs/>
    </w:rPr>
  </w:style>
  <w:style w:type="character" w:styleId="Hyperlink">
    <w:name w:val="Hyperlink"/>
    <w:basedOn w:val="DefaultParagraphFont"/>
    <w:uiPriority w:val="99"/>
    <w:unhideWhenUsed/>
    <w:rsid w:val="008162B9"/>
    <w:rPr>
      <w:color w:val="0563C1"/>
      <w:u w:val="single"/>
    </w:rPr>
  </w:style>
  <w:style w:type="paragraph" w:styleId="ListParagraph">
    <w:name w:val="List Paragraph"/>
    <w:basedOn w:val="Normal"/>
    <w:uiPriority w:val="34"/>
    <w:qFormat/>
    <w:rsid w:val="008162B9"/>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CA1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1818">
      <w:bodyDiv w:val="1"/>
      <w:marLeft w:val="0"/>
      <w:marRight w:val="0"/>
      <w:marTop w:val="0"/>
      <w:marBottom w:val="0"/>
      <w:divBdr>
        <w:top w:val="none" w:sz="0" w:space="0" w:color="auto"/>
        <w:left w:val="none" w:sz="0" w:space="0" w:color="auto"/>
        <w:bottom w:val="none" w:sz="0" w:space="0" w:color="auto"/>
        <w:right w:val="none" w:sz="0" w:space="0" w:color="auto"/>
      </w:divBdr>
    </w:div>
    <w:div w:id="420839411">
      <w:bodyDiv w:val="1"/>
      <w:marLeft w:val="0"/>
      <w:marRight w:val="0"/>
      <w:marTop w:val="0"/>
      <w:marBottom w:val="0"/>
      <w:divBdr>
        <w:top w:val="none" w:sz="0" w:space="0" w:color="auto"/>
        <w:left w:val="none" w:sz="0" w:space="0" w:color="auto"/>
        <w:bottom w:val="none" w:sz="0" w:space="0" w:color="auto"/>
        <w:right w:val="none" w:sz="0" w:space="0" w:color="auto"/>
      </w:divBdr>
    </w:div>
    <w:div w:id="641234423">
      <w:bodyDiv w:val="1"/>
      <w:marLeft w:val="0"/>
      <w:marRight w:val="0"/>
      <w:marTop w:val="0"/>
      <w:marBottom w:val="0"/>
      <w:divBdr>
        <w:top w:val="none" w:sz="0" w:space="0" w:color="auto"/>
        <w:left w:val="none" w:sz="0" w:space="0" w:color="auto"/>
        <w:bottom w:val="none" w:sz="0" w:space="0" w:color="auto"/>
        <w:right w:val="none" w:sz="0" w:space="0" w:color="auto"/>
      </w:divBdr>
    </w:div>
    <w:div w:id="812021976">
      <w:bodyDiv w:val="1"/>
      <w:marLeft w:val="0"/>
      <w:marRight w:val="0"/>
      <w:marTop w:val="0"/>
      <w:marBottom w:val="0"/>
      <w:divBdr>
        <w:top w:val="none" w:sz="0" w:space="0" w:color="auto"/>
        <w:left w:val="none" w:sz="0" w:space="0" w:color="auto"/>
        <w:bottom w:val="none" w:sz="0" w:space="0" w:color="auto"/>
        <w:right w:val="none" w:sz="0" w:space="0" w:color="auto"/>
      </w:divBdr>
    </w:div>
    <w:div w:id="894241268">
      <w:bodyDiv w:val="1"/>
      <w:marLeft w:val="0"/>
      <w:marRight w:val="0"/>
      <w:marTop w:val="0"/>
      <w:marBottom w:val="0"/>
      <w:divBdr>
        <w:top w:val="none" w:sz="0" w:space="0" w:color="auto"/>
        <w:left w:val="none" w:sz="0" w:space="0" w:color="auto"/>
        <w:bottom w:val="none" w:sz="0" w:space="0" w:color="auto"/>
        <w:right w:val="none" w:sz="0" w:space="0" w:color="auto"/>
      </w:divBdr>
    </w:div>
    <w:div w:id="1098410383">
      <w:bodyDiv w:val="1"/>
      <w:marLeft w:val="0"/>
      <w:marRight w:val="0"/>
      <w:marTop w:val="0"/>
      <w:marBottom w:val="0"/>
      <w:divBdr>
        <w:top w:val="none" w:sz="0" w:space="0" w:color="auto"/>
        <w:left w:val="none" w:sz="0" w:space="0" w:color="auto"/>
        <w:bottom w:val="none" w:sz="0" w:space="0" w:color="auto"/>
        <w:right w:val="none" w:sz="0" w:space="0" w:color="auto"/>
      </w:divBdr>
    </w:div>
    <w:div w:id="18555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vmnvd.gov.lv/lv/vakcinacijas-rokasgramata-informativais-materials-vakcinacijas-veiceji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1608</Words>
  <Characters>918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ginta</cp:lastModifiedBy>
  <cp:revision>2</cp:revision>
  <dcterms:created xsi:type="dcterms:W3CDTF">2021-04-24T14:54:00Z</dcterms:created>
  <dcterms:modified xsi:type="dcterms:W3CDTF">2021-04-24T14:54:00Z</dcterms:modified>
</cp:coreProperties>
</file>