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6167B0DC" w:rsidR="002C35F4" w:rsidRDefault="00217139" w:rsidP="002C35F4">
      <w:pPr>
        <w:spacing w:after="0" w:line="240" w:lineRule="auto"/>
        <w:rPr>
          <w:b/>
          <w:bCs/>
        </w:rPr>
      </w:pPr>
      <w:r>
        <w:rPr>
          <w:b/>
          <w:bCs/>
        </w:rPr>
        <w:t>0</w:t>
      </w:r>
      <w:r w:rsidR="00CC037F">
        <w:rPr>
          <w:b/>
          <w:bCs/>
        </w:rPr>
        <w:t>8</w:t>
      </w:r>
      <w:r w:rsidR="00BA5F63">
        <w:rPr>
          <w:b/>
          <w:bCs/>
        </w:rPr>
        <w:t>.0</w:t>
      </w:r>
      <w:r>
        <w:rPr>
          <w:b/>
          <w:bCs/>
        </w:rPr>
        <w:t>4</w:t>
      </w:r>
      <w:r w:rsidR="00335C8D">
        <w:rPr>
          <w:b/>
          <w:bCs/>
        </w:rPr>
        <w:t>.202</w:t>
      </w:r>
      <w:r w:rsidR="00BA5F63">
        <w:rPr>
          <w:b/>
          <w:bCs/>
        </w:rPr>
        <w:t>5</w:t>
      </w:r>
      <w:r w:rsidR="00D205A1">
        <w:rPr>
          <w:b/>
          <w:bCs/>
        </w:rPr>
        <w:t>(</w:t>
      </w:r>
      <w:r w:rsidR="00CC037F">
        <w:rPr>
          <w:b/>
          <w:bCs/>
        </w:rPr>
        <w:t>1</w:t>
      </w:r>
      <w:r w:rsidR="00D205A1">
        <w:rPr>
          <w:b/>
          <w:bCs/>
        </w:rPr>
        <w:t>)</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0994A7D" w14:textId="7E2F2653" w:rsidR="0080200C" w:rsidRDefault="00CC037F" w:rsidP="000A56FF">
      <w:pPr>
        <w:spacing w:after="0" w:line="240" w:lineRule="auto"/>
        <w:rPr>
          <w:rFonts w:cstheme="minorHAnsi"/>
        </w:rPr>
      </w:pPr>
      <w:r w:rsidRPr="00CC037F">
        <w:rPr>
          <w:rFonts w:cstheme="minorHAnsi"/>
        </w:rPr>
        <w:t>Par izmaiņām manipulācijas 50529</w:t>
      </w:r>
      <w:r>
        <w:rPr>
          <w:rFonts w:cstheme="minorHAnsi"/>
        </w:rPr>
        <w:t xml:space="preserve"> </w:t>
      </w:r>
      <w:r w:rsidRPr="00CC037F">
        <w:rPr>
          <w:rFonts w:cstheme="minorHAnsi"/>
        </w:rPr>
        <w:t>apmaksas nosacījumos</w:t>
      </w:r>
    </w:p>
    <w:p w14:paraId="3AA71FBF" w14:textId="77777777" w:rsidR="00CC037F" w:rsidRDefault="00CC037F" w:rsidP="000A56FF">
      <w:pPr>
        <w:spacing w:after="0" w:line="240" w:lineRule="auto"/>
        <w:rPr>
          <w:rFonts w:cstheme="minorHAnsi"/>
        </w:rPr>
      </w:pPr>
    </w:p>
    <w:p w14:paraId="297F2F6B" w14:textId="6F6D1B33" w:rsidR="000A56FF" w:rsidRDefault="00CF744E" w:rsidP="000A56FF">
      <w:pPr>
        <w:spacing w:after="0" w:line="240" w:lineRule="auto"/>
        <w:rPr>
          <w:rFonts w:ascii="Calibri" w:hAnsi="Calibri" w:cs="Calibri"/>
          <w:b/>
          <w:bCs/>
        </w:rPr>
      </w:pPr>
      <w:r w:rsidRPr="00CF744E">
        <w:rPr>
          <w:rFonts w:ascii="Calibri" w:hAnsi="Calibri" w:cs="Calibri"/>
          <w:b/>
          <w:bCs/>
        </w:rPr>
        <w:t>E-pasta teksts</w:t>
      </w:r>
    </w:p>
    <w:p w14:paraId="39F16986" w14:textId="77777777" w:rsidR="00CC037F" w:rsidRPr="00CC037F" w:rsidRDefault="00CC037F" w:rsidP="00CC037F">
      <w:pPr>
        <w:jc w:val="both"/>
        <w:rPr>
          <w:rFonts w:cstheme="minorHAnsi"/>
        </w:rPr>
      </w:pPr>
      <w:r w:rsidRPr="00CC037F">
        <w:rPr>
          <w:rFonts w:cstheme="minorHAnsi"/>
        </w:rPr>
        <w:t xml:space="preserve">Nacionālais veselības dienests (turpmāk – Dienests) informē par izmaiņām manipulāciju sarakstā, kas stājušās spēkā ar 2025. gada 1. janvāri attiecībā uz manipulācijas 50529 “Mugurkaula 3 skriemeļu CT bez kontrastēšanas“ (turpmāk – Manipulācija 50529) apmaksas nosacījumiem. Manipulācijas 50529 apmaksas nosacījumi ir papildināti ar precizējumu, kas paredz, ka pie diagnozes M47 (spondiloze) manipulāciju apmaksā ar ģimenes ārsta nosūtījumu ne biežāk kā vienu reizi gadā. </w:t>
      </w:r>
    </w:p>
    <w:p w14:paraId="7D6A0E7D" w14:textId="77777777" w:rsidR="00CC037F" w:rsidRPr="00CC037F" w:rsidRDefault="00CC037F" w:rsidP="00CC037F">
      <w:pPr>
        <w:jc w:val="both"/>
        <w:rPr>
          <w:rFonts w:cstheme="minorHAnsi"/>
        </w:rPr>
      </w:pPr>
      <w:r w:rsidRPr="00CC037F">
        <w:rPr>
          <w:rFonts w:cstheme="minorHAnsi"/>
        </w:rPr>
        <w:t>Minētās izmaiņas veiktas, balstoties uz Dienesta veikto datu analīzi par 2022. gadā veiktajiem no valsts budžeta līdzekļiem apmaksātajiem stacionārajiem un ambulatorajiem diagnostikas izmeklējumiem.</w:t>
      </w:r>
    </w:p>
    <w:p w14:paraId="68BAD907" w14:textId="77777777" w:rsidR="00CC037F" w:rsidRPr="00CC037F" w:rsidRDefault="00CC037F" w:rsidP="00CC037F">
      <w:pPr>
        <w:jc w:val="both"/>
        <w:rPr>
          <w:rFonts w:cstheme="minorHAnsi"/>
        </w:rPr>
      </w:pPr>
      <w:r w:rsidRPr="00CC037F">
        <w:rPr>
          <w:rFonts w:cstheme="minorHAnsi"/>
        </w:rPr>
        <w:t xml:space="preserve">Biežākās diagnozes, pie kurām ambulatori veic datortomogrāfijas (turpmāk – CT) un kodolmagnētisko rezonansi (turpmāk – MR), ir spondilozes (M47 grupas diagnozes un G55.2) diagnozes, kas sastāda 12% no CT izmeklējumiem (28 808) un 23% no MR izmeklējumiem 13 793). No ambulatori veiktiem izmeklējumiem 73% gadījumu uz CT spondilozes diagnostikai (vai slimības dinamiskai novērošanai) pacientu nosūtīja ģimenes ārsts, savukārt uz MR biežākais nosūtītājs ir neirologs. Spondilozes diagnostikai vai novērošanai 2022. gada laikā 6 140 pacientiem ambulatori veikti 2 – 3 dažāda veida valsts apmaksāti izmeklējumi (RTG, CT, un/vai MR). </w:t>
      </w:r>
    </w:p>
    <w:p w14:paraId="1F8BF849" w14:textId="6324D90D" w:rsidR="00CC037F" w:rsidRPr="00571C9D" w:rsidRDefault="00CC037F" w:rsidP="00CC037F">
      <w:pPr>
        <w:jc w:val="both"/>
        <w:rPr>
          <w:rFonts w:cstheme="minorHAnsi"/>
        </w:rPr>
      </w:pPr>
      <w:r w:rsidRPr="00CC037F">
        <w:rPr>
          <w:rFonts w:cstheme="minorHAnsi"/>
        </w:rPr>
        <w:t>Lai samazinātu viena gada laikā, atkārtoti izsniegtu nosūtījumu un secīgi veiktu izmeklējumu skaitu uz CT izmeklējumiem pacientiem ar diagnozi M47, kā arī veicinātu pamatotu un mērķtiecīgu izmeklējumu veikšanu, atbilstoši apmaksas nosacījumiem, pacientu uz CT ģimenes ārsts var nosūtīt vienu reizi gadā. Specifiskās situācijās saglabājas iespēja, ka uz atkārtotu izmeklējuma veikšanu var nosūtīt sekundārās veselības aprūpes speciālists.</w:t>
      </w:r>
    </w:p>
    <w:sectPr w:rsidR="00CC037F" w:rsidRPr="00571C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D6761D2"/>
    <w:multiLevelType w:val="hybridMultilevel"/>
    <w:tmpl w:val="3D6CB3AC"/>
    <w:lvl w:ilvl="0" w:tplc="62BE9148">
      <w:start w:val="1"/>
      <w:numFmt w:val="bullet"/>
      <w:lvlText w:val=""/>
      <w:lvlJc w:val="left"/>
      <w:pPr>
        <w:ind w:left="720" w:hanging="360"/>
      </w:pPr>
      <w:rPr>
        <w:rFonts w:ascii="Symbol" w:hAnsi="Symbol" w:hint="default"/>
      </w:rPr>
    </w:lvl>
    <w:lvl w:ilvl="1" w:tplc="F954A9DA">
      <w:start w:val="1"/>
      <w:numFmt w:val="bullet"/>
      <w:lvlText w:val="o"/>
      <w:lvlJc w:val="left"/>
      <w:pPr>
        <w:ind w:left="1440" w:hanging="360"/>
      </w:pPr>
      <w:rPr>
        <w:rFonts w:ascii="Courier New" w:hAnsi="Courier New" w:cs="Times New Roman" w:hint="default"/>
      </w:rPr>
    </w:lvl>
    <w:lvl w:ilvl="2" w:tplc="C3145EF4">
      <w:start w:val="1"/>
      <w:numFmt w:val="bullet"/>
      <w:lvlText w:val=""/>
      <w:lvlJc w:val="left"/>
      <w:pPr>
        <w:ind w:left="2160" w:hanging="360"/>
      </w:pPr>
      <w:rPr>
        <w:rFonts w:ascii="Wingdings" w:hAnsi="Wingdings" w:hint="default"/>
      </w:rPr>
    </w:lvl>
    <w:lvl w:ilvl="3" w:tplc="45901470">
      <w:start w:val="1"/>
      <w:numFmt w:val="bullet"/>
      <w:lvlText w:val=""/>
      <w:lvlJc w:val="left"/>
      <w:pPr>
        <w:ind w:left="2880" w:hanging="360"/>
      </w:pPr>
      <w:rPr>
        <w:rFonts w:ascii="Symbol" w:hAnsi="Symbol" w:hint="default"/>
      </w:rPr>
    </w:lvl>
    <w:lvl w:ilvl="4" w:tplc="5526F1F2">
      <w:start w:val="1"/>
      <w:numFmt w:val="bullet"/>
      <w:lvlText w:val="o"/>
      <w:lvlJc w:val="left"/>
      <w:pPr>
        <w:ind w:left="3600" w:hanging="360"/>
      </w:pPr>
      <w:rPr>
        <w:rFonts w:ascii="Courier New" w:hAnsi="Courier New" w:cs="Times New Roman" w:hint="default"/>
      </w:rPr>
    </w:lvl>
    <w:lvl w:ilvl="5" w:tplc="5B72B56E">
      <w:start w:val="1"/>
      <w:numFmt w:val="bullet"/>
      <w:lvlText w:val=""/>
      <w:lvlJc w:val="left"/>
      <w:pPr>
        <w:ind w:left="4320" w:hanging="360"/>
      </w:pPr>
      <w:rPr>
        <w:rFonts w:ascii="Wingdings" w:hAnsi="Wingdings" w:hint="default"/>
      </w:rPr>
    </w:lvl>
    <w:lvl w:ilvl="6" w:tplc="BEBE153E">
      <w:start w:val="1"/>
      <w:numFmt w:val="bullet"/>
      <w:lvlText w:val=""/>
      <w:lvlJc w:val="left"/>
      <w:pPr>
        <w:ind w:left="5040" w:hanging="360"/>
      </w:pPr>
      <w:rPr>
        <w:rFonts w:ascii="Symbol" w:hAnsi="Symbol" w:hint="default"/>
      </w:rPr>
    </w:lvl>
    <w:lvl w:ilvl="7" w:tplc="29FC2BB4">
      <w:start w:val="1"/>
      <w:numFmt w:val="bullet"/>
      <w:lvlText w:val="o"/>
      <w:lvlJc w:val="left"/>
      <w:pPr>
        <w:ind w:left="5760" w:hanging="360"/>
      </w:pPr>
      <w:rPr>
        <w:rFonts w:ascii="Courier New" w:hAnsi="Courier New" w:cs="Times New Roman" w:hint="default"/>
      </w:rPr>
    </w:lvl>
    <w:lvl w:ilvl="8" w:tplc="DD06B560">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0E8450D"/>
    <w:multiLevelType w:val="hybridMultilevel"/>
    <w:tmpl w:val="16006C34"/>
    <w:lvl w:ilvl="0" w:tplc="533A60E8">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6"/>
  </w:num>
  <w:num w:numId="5" w16cid:durableId="1657148472">
    <w:abstractNumId w:val="23"/>
  </w:num>
  <w:num w:numId="6" w16cid:durableId="1106003344">
    <w:abstractNumId w:val="17"/>
  </w:num>
  <w:num w:numId="7" w16cid:durableId="375082792">
    <w:abstractNumId w:val="22"/>
  </w:num>
  <w:num w:numId="8" w16cid:durableId="1798452046">
    <w:abstractNumId w:val="7"/>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1"/>
  </w:num>
  <w:num w:numId="17" w16cid:durableId="1079059332">
    <w:abstractNumId w:val="21"/>
  </w:num>
  <w:num w:numId="18" w16cid:durableId="1466317037">
    <w:abstractNumId w:val="14"/>
  </w:num>
  <w:num w:numId="19" w16cid:durableId="1294941619">
    <w:abstractNumId w:val="19"/>
  </w:num>
  <w:num w:numId="20" w16cid:durableId="348720614">
    <w:abstractNumId w:val="13"/>
  </w:num>
  <w:num w:numId="21" w16cid:durableId="1340541331">
    <w:abstractNumId w:val="18"/>
  </w:num>
  <w:num w:numId="22" w16cid:durableId="2119063125">
    <w:abstractNumId w:val="0"/>
  </w:num>
  <w:num w:numId="23" w16cid:durableId="1524972188">
    <w:abstractNumId w:val="9"/>
  </w:num>
  <w:num w:numId="24" w16cid:durableId="1907256432">
    <w:abstractNumId w:val="5"/>
  </w:num>
  <w:num w:numId="25" w16cid:durableId="1944649987">
    <w:abstractNumId w:val="29"/>
  </w:num>
  <w:num w:numId="26" w16cid:durableId="195195036">
    <w:abstractNumId w:val="10"/>
  </w:num>
  <w:num w:numId="27" w16cid:durableId="1212767704">
    <w:abstractNumId w:val="6"/>
  </w:num>
  <w:num w:numId="28" w16cid:durableId="114145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0641935">
    <w:abstractNumId w:val="15"/>
  </w:num>
  <w:num w:numId="30" w16cid:durableId="1730494094">
    <w:abstractNumId w:val="16"/>
  </w:num>
  <w:num w:numId="31" w16cid:durableId="1786193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A56FF"/>
    <w:rsid w:val="000C6255"/>
    <w:rsid w:val="000E0C29"/>
    <w:rsid w:val="000E24B0"/>
    <w:rsid w:val="001530FF"/>
    <w:rsid w:val="001774CD"/>
    <w:rsid w:val="00186157"/>
    <w:rsid w:val="001B1BDA"/>
    <w:rsid w:val="001B4A48"/>
    <w:rsid w:val="001C0B3E"/>
    <w:rsid w:val="001C6C78"/>
    <w:rsid w:val="001D61FC"/>
    <w:rsid w:val="001E15BA"/>
    <w:rsid w:val="00217139"/>
    <w:rsid w:val="002215B2"/>
    <w:rsid w:val="00287E5C"/>
    <w:rsid w:val="002C35F4"/>
    <w:rsid w:val="002C7EFF"/>
    <w:rsid w:val="002F48A6"/>
    <w:rsid w:val="002F5E0E"/>
    <w:rsid w:val="00304706"/>
    <w:rsid w:val="0030758B"/>
    <w:rsid w:val="0032507A"/>
    <w:rsid w:val="00327A80"/>
    <w:rsid w:val="00330428"/>
    <w:rsid w:val="003315A4"/>
    <w:rsid w:val="00335C8D"/>
    <w:rsid w:val="00371232"/>
    <w:rsid w:val="00386C7C"/>
    <w:rsid w:val="0039319B"/>
    <w:rsid w:val="003A5B10"/>
    <w:rsid w:val="003D33D0"/>
    <w:rsid w:val="003E3B83"/>
    <w:rsid w:val="004078D5"/>
    <w:rsid w:val="00416FA7"/>
    <w:rsid w:val="00446226"/>
    <w:rsid w:val="004739D6"/>
    <w:rsid w:val="004824D3"/>
    <w:rsid w:val="0048268D"/>
    <w:rsid w:val="00484F86"/>
    <w:rsid w:val="0049335D"/>
    <w:rsid w:val="004A4644"/>
    <w:rsid w:val="004A4E77"/>
    <w:rsid w:val="004E6167"/>
    <w:rsid w:val="005041FB"/>
    <w:rsid w:val="00517648"/>
    <w:rsid w:val="00521A40"/>
    <w:rsid w:val="00534844"/>
    <w:rsid w:val="00541D14"/>
    <w:rsid w:val="00550820"/>
    <w:rsid w:val="00550899"/>
    <w:rsid w:val="00564BE5"/>
    <w:rsid w:val="00571C9D"/>
    <w:rsid w:val="005A345A"/>
    <w:rsid w:val="005B3905"/>
    <w:rsid w:val="0061133A"/>
    <w:rsid w:val="00613C16"/>
    <w:rsid w:val="006652A8"/>
    <w:rsid w:val="006669A1"/>
    <w:rsid w:val="0067605D"/>
    <w:rsid w:val="00693CF0"/>
    <w:rsid w:val="00693E3F"/>
    <w:rsid w:val="00695B0E"/>
    <w:rsid w:val="006A525A"/>
    <w:rsid w:val="006A5526"/>
    <w:rsid w:val="006B4DCE"/>
    <w:rsid w:val="006D61C4"/>
    <w:rsid w:val="006E1BC3"/>
    <w:rsid w:val="006F0546"/>
    <w:rsid w:val="00712CFD"/>
    <w:rsid w:val="0071736A"/>
    <w:rsid w:val="007840E1"/>
    <w:rsid w:val="00787CFA"/>
    <w:rsid w:val="007C0400"/>
    <w:rsid w:val="007C1832"/>
    <w:rsid w:val="007C2C25"/>
    <w:rsid w:val="007F1F9C"/>
    <w:rsid w:val="0080200C"/>
    <w:rsid w:val="008137AF"/>
    <w:rsid w:val="0083168F"/>
    <w:rsid w:val="008704E3"/>
    <w:rsid w:val="00871A3D"/>
    <w:rsid w:val="00880DDB"/>
    <w:rsid w:val="00886BDC"/>
    <w:rsid w:val="00893247"/>
    <w:rsid w:val="00894A57"/>
    <w:rsid w:val="008A2510"/>
    <w:rsid w:val="008D32F4"/>
    <w:rsid w:val="00923F48"/>
    <w:rsid w:val="00940625"/>
    <w:rsid w:val="0095527A"/>
    <w:rsid w:val="00970D1C"/>
    <w:rsid w:val="009B6E3B"/>
    <w:rsid w:val="009D6094"/>
    <w:rsid w:val="00A02CBE"/>
    <w:rsid w:val="00A12D67"/>
    <w:rsid w:val="00A17177"/>
    <w:rsid w:val="00A426EA"/>
    <w:rsid w:val="00A440C3"/>
    <w:rsid w:val="00A50BC8"/>
    <w:rsid w:val="00A80153"/>
    <w:rsid w:val="00A909DC"/>
    <w:rsid w:val="00A972F0"/>
    <w:rsid w:val="00AB4365"/>
    <w:rsid w:val="00AE3F01"/>
    <w:rsid w:val="00AE4F9D"/>
    <w:rsid w:val="00AF4662"/>
    <w:rsid w:val="00B168D0"/>
    <w:rsid w:val="00B246EF"/>
    <w:rsid w:val="00B56F33"/>
    <w:rsid w:val="00B6351F"/>
    <w:rsid w:val="00B643EC"/>
    <w:rsid w:val="00B77C0E"/>
    <w:rsid w:val="00B94B02"/>
    <w:rsid w:val="00B95AEB"/>
    <w:rsid w:val="00B95F91"/>
    <w:rsid w:val="00BA48D3"/>
    <w:rsid w:val="00BA5F63"/>
    <w:rsid w:val="00BB7187"/>
    <w:rsid w:val="00BD127E"/>
    <w:rsid w:val="00BE2CD4"/>
    <w:rsid w:val="00C73D74"/>
    <w:rsid w:val="00C82A8A"/>
    <w:rsid w:val="00CA6316"/>
    <w:rsid w:val="00CC037F"/>
    <w:rsid w:val="00CD20A4"/>
    <w:rsid w:val="00CF63DD"/>
    <w:rsid w:val="00CF744E"/>
    <w:rsid w:val="00D205A1"/>
    <w:rsid w:val="00D2785A"/>
    <w:rsid w:val="00D32E3D"/>
    <w:rsid w:val="00D72FCF"/>
    <w:rsid w:val="00D75D6C"/>
    <w:rsid w:val="00D8035C"/>
    <w:rsid w:val="00D87A54"/>
    <w:rsid w:val="00DB15E8"/>
    <w:rsid w:val="00DB3AF5"/>
    <w:rsid w:val="00DC017F"/>
    <w:rsid w:val="00E06F16"/>
    <w:rsid w:val="00E20FF8"/>
    <w:rsid w:val="00EA4FB9"/>
    <w:rsid w:val="00EB64EA"/>
    <w:rsid w:val="00EF64C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styleId="Header">
    <w:name w:val="header"/>
    <w:basedOn w:val="Normal"/>
    <w:link w:val="HeaderChar"/>
    <w:uiPriority w:val="99"/>
    <w:semiHidden/>
    <w:unhideWhenUsed/>
    <w:rsid w:val="000A56FF"/>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A56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476">
      <w:bodyDiv w:val="1"/>
      <w:marLeft w:val="0"/>
      <w:marRight w:val="0"/>
      <w:marTop w:val="0"/>
      <w:marBottom w:val="0"/>
      <w:divBdr>
        <w:top w:val="none" w:sz="0" w:space="0" w:color="auto"/>
        <w:left w:val="none" w:sz="0" w:space="0" w:color="auto"/>
        <w:bottom w:val="none" w:sz="0" w:space="0" w:color="auto"/>
        <w:right w:val="none" w:sz="0" w:space="0" w:color="auto"/>
      </w:divBdr>
    </w:div>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1543135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4446094">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24688162">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3116492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38444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336920">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4960998">
      <w:bodyDiv w:val="1"/>
      <w:marLeft w:val="0"/>
      <w:marRight w:val="0"/>
      <w:marTop w:val="0"/>
      <w:marBottom w:val="0"/>
      <w:divBdr>
        <w:top w:val="none" w:sz="0" w:space="0" w:color="auto"/>
        <w:left w:val="none" w:sz="0" w:space="0" w:color="auto"/>
        <w:bottom w:val="none" w:sz="0" w:space="0" w:color="auto"/>
        <w:right w:val="none" w:sz="0" w:space="0" w:color="auto"/>
      </w:divBdr>
    </w:div>
    <w:div w:id="42534494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66898455">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3252655">
      <w:bodyDiv w:val="1"/>
      <w:marLeft w:val="0"/>
      <w:marRight w:val="0"/>
      <w:marTop w:val="0"/>
      <w:marBottom w:val="0"/>
      <w:divBdr>
        <w:top w:val="none" w:sz="0" w:space="0" w:color="auto"/>
        <w:left w:val="none" w:sz="0" w:space="0" w:color="auto"/>
        <w:bottom w:val="none" w:sz="0" w:space="0" w:color="auto"/>
        <w:right w:val="none" w:sz="0" w:space="0" w:color="auto"/>
      </w:divBdr>
    </w:div>
    <w:div w:id="503322755">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1817248">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44434713">
      <w:bodyDiv w:val="1"/>
      <w:marLeft w:val="0"/>
      <w:marRight w:val="0"/>
      <w:marTop w:val="0"/>
      <w:marBottom w:val="0"/>
      <w:divBdr>
        <w:top w:val="none" w:sz="0" w:space="0" w:color="auto"/>
        <w:left w:val="none" w:sz="0" w:space="0" w:color="auto"/>
        <w:bottom w:val="none" w:sz="0" w:space="0" w:color="auto"/>
        <w:right w:val="none" w:sz="0" w:space="0" w:color="auto"/>
      </w:divBdr>
    </w:div>
    <w:div w:id="650452535">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9571582">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669913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4158456">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1508018">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4129602">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884608159">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15474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42106021">
      <w:bodyDiv w:val="1"/>
      <w:marLeft w:val="0"/>
      <w:marRight w:val="0"/>
      <w:marTop w:val="0"/>
      <w:marBottom w:val="0"/>
      <w:divBdr>
        <w:top w:val="none" w:sz="0" w:space="0" w:color="auto"/>
        <w:left w:val="none" w:sz="0" w:space="0" w:color="auto"/>
        <w:bottom w:val="none" w:sz="0" w:space="0" w:color="auto"/>
        <w:right w:val="none" w:sz="0" w:space="0" w:color="auto"/>
      </w:divBdr>
    </w:div>
    <w:div w:id="947856626">
      <w:bodyDiv w:val="1"/>
      <w:marLeft w:val="0"/>
      <w:marRight w:val="0"/>
      <w:marTop w:val="0"/>
      <w:marBottom w:val="0"/>
      <w:divBdr>
        <w:top w:val="none" w:sz="0" w:space="0" w:color="auto"/>
        <w:left w:val="none" w:sz="0" w:space="0" w:color="auto"/>
        <w:bottom w:val="none" w:sz="0" w:space="0" w:color="auto"/>
        <w:right w:val="none" w:sz="0" w:space="0" w:color="auto"/>
      </w:divBdr>
    </w:div>
    <w:div w:id="951519721">
      <w:bodyDiv w:val="1"/>
      <w:marLeft w:val="0"/>
      <w:marRight w:val="0"/>
      <w:marTop w:val="0"/>
      <w:marBottom w:val="0"/>
      <w:divBdr>
        <w:top w:val="none" w:sz="0" w:space="0" w:color="auto"/>
        <w:left w:val="none" w:sz="0" w:space="0" w:color="auto"/>
        <w:bottom w:val="none" w:sz="0" w:space="0" w:color="auto"/>
        <w:right w:val="none" w:sz="0" w:space="0" w:color="auto"/>
      </w:divBdr>
    </w:div>
    <w:div w:id="976910697">
      <w:bodyDiv w:val="1"/>
      <w:marLeft w:val="0"/>
      <w:marRight w:val="0"/>
      <w:marTop w:val="0"/>
      <w:marBottom w:val="0"/>
      <w:divBdr>
        <w:top w:val="none" w:sz="0" w:space="0" w:color="auto"/>
        <w:left w:val="none" w:sz="0" w:space="0" w:color="auto"/>
        <w:bottom w:val="none" w:sz="0" w:space="0" w:color="auto"/>
        <w:right w:val="none" w:sz="0" w:space="0" w:color="auto"/>
      </w:divBdr>
    </w:div>
    <w:div w:id="977103680">
      <w:bodyDiv w:val="1"/>
      <w:marLeft w:val="0"/>
      <w:marRight w:val="0"/>
      <w:marTop w:val="0"/>
      <w:marBottom w:val="0"/>
      <w:divBdr>
        <w:top w:val="none" w:sz="0" w:space="0" w:color="auto"/>
        <w:left w:val="none" w:sz="0" w:space="0" w:color="auto"/>
        <w:bottom w:val="none" w:sz="0" w:space="0" w:color="auto"/>
        <w:right w:val="none" w:sz="0" w:space="0" w:color="auto"/>
      </w:divBdr>
    </w:div>
    <w:div w:id="97819241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2851007">
      <w:bodyDiv w:val="1"/>
      <w:marLeft w:val="0"/>
      <w:marRight w:val="0"/>
      <w:marTop w:val="0"/>
      <w:marBottom w:val="0"/>
      <w:divBdr>
        <w:top w:val="none" w:sz="0" w:space="0" w:color="auto"/>
        <w:left w:val="none" w:sz="0" w:space="0" w:color="auto"/>
        <w:bottom w:val="none" w:sz="0" w:space="0" w:color="auto"/>
        <w:right w:val="none" w:sz="0" w:space="0" w:color="auto"/>
      </w:divBdr>
    </w:div>
    <w:div w:id="1003361359">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59508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49039477">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
    <w:div w:id="1137836047">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47363110">
      <w:bodyDiv w:val="1"/>
      <w:marLeft w:val="0"/>
      <w:marRight w:val="0"/>
      <w:marTop w:val="0"/>
      <w:marBottom w:val="0"/>
      <w:divBdr>
        <w:top w:val="none" w:sz="0" w:space="0" w:color="auto"/>
        <w:left w:val="none" w:sz="0" w:space="0" w:color="auto"/>
        <w:bottom w:val="none" w:sz="0" w:space="0" w:color="auto"/>
        <w:right w:val="none" w:sz="0" w:space="0" w:color="auto"/>
      </w:divBdr>
    </w:div>
    <w:div w:id="1156216902">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10725061">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164899">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327942">
      <w:bodyDiv w:val="1"/>
      <w:marLeft w:val="0"/>
      <w:marRight w:val="0"/>
      <w:marTop w:val="0"/>
      <w:marBottom w:val="0"/>
      <w:divBdr>
        <w:top w:val="none" w:sz="0" w:space="0" w:color="auto"/>
        <w:left w:val="none" w:sz="0" w:space="0" w:color="auto"/>
        <w:bottom w:val="none" w:sz="0" w:space="0" w:color="auto"/>
        <w:right w:val="none" w:sz="0" w:space="0" w:color="auto"/>
      </w:divBdr>
    </w:div>
    <w:div w:id="1264650282">
      <w:bodyDiv w:val="1"/>
      <w:marLeft w:val="0"/>
      <w:marRight w:val="0"/>
      <w:marTop w:val="0"/>
      <w:marBottom w:val="0"/>
      <w:divBdr>
        <w:top w:val="none" w:sz="0" w:space="0" w:color="auto"/>
        <w:left w:val="none" w:sz="0" w:space="0" w:color="auto"/>
        <w:bottom w:val="none" w:sz="0" w:space="0" w:color="auto"/>
        <w:right w:val="none" w:sz="0" w:space="0" w:color="auto"/>
      </w:divBdr>
    </w:div>
    <w:div w:id="1274442130">
      <w:bodyDiv w:val="1"/>
      <w:marLeft w:val="0"/>
      <w:marRight w:val="0"/>
      <w:marTop w:val="0"/>
      <w:marBottom w:val="0"/>
      <w:divBdr>
        <w:top w:val="none" w:sz="0" w:space="0" w:color="auto"/>
        <w:left w:val="none" w:sz="0" w:space="0" w:color="auto"/>
        <w:bottom w:val="none" w:sz="0" w:space="0" w:color="auto"/>
        <w:right w:val="none" w:sz="0" w:space="0" w:color="auto"/>
      </w:divBdr>
    </w:div>
    <w:div w:id="1298298543">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8956439">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7282533">
      <w:bodyDiv w:val="1"/>
      <w:marLeft w:val="0"/>
      <w:marRight w:val="0"/>
      <w:marTop w:val="0"/>
      <w:marBottom w:val="0"/>
      <w:divBdr>
        <w:top w:val="none" w:sz="0" w:space="0" w:color="auto"/>
        <w:left w:val="none" w:sz="0" w:space="0" w:color="auto"/>
        <w:bottom w:val="none" w:sz="0" w:space="0" w:color="auto"/>
        <w:right w:val="none" w:sz="0" w:space="0" w:color="auto"/>
      </w:divBdr>
    </w:div>
    <w:div w:id="1532379046">
      <w:bodyDiv w:val="1"/>
      <w:marLeft w:val="0"/>
      <w:marRight w:val="0"/>
      <w:marTop w:val="0"/>
      <w:marBottom w:val="0"/>
      <w:divBdr>
        <w:top w:val="none" w:sz="0" w:space="0" w:color="auto"/>
        <w:left w:val="none" w:sz="0" w:space="0" w:color="auto"/>
        <w:bottom w:val="none" w:sz="0" w:space="0" w:color="auto"/>
        <w:right w:val="none" w:sz="0" w:space="0" w:color="auto"/>
      </w:divBdr>
    </w:div>
    <w:div w:id="15344914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91816329">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82512996">
      <w:bodyDiv w:val="1"/>
      <w:marLeft w:val="0"/>
      <w:marRight w:val="0"/>
      <w:marTop w:val="0"/>
      <w:marBottom w:val="0"/>
      <w:divBdr>
        <w:top w:val="none" w:sz="0" w:space="0" w:color="auto"/>
        <w:left w:val="none" w:sz="0" w:space="0" w:color="auto"/>
        <w:bottom w:val="none" w:sz="0" w:space="0" w:color="auto"/>
        <w:right w:val="none" w:sz="0" w:space="0" w:color="auto"/>
      </w:divBdr>
    </w:div>
    <w:div w:id="1682926678">
      <w:bodyDiv w:val="1"/>
      <w:marLeft w:val="0"/>
      <w:marRight w:val="0"/>
      <w:marTop w:val="0"/>
      <w:marBottom w:val="0"/>
      <w:divBdr>
        <w:top w:val="none" w:sz="0" w:space="0" w:color="auto"/>
        <w:left w:val="none" w:sz="0" w:space="0" w:color="auto"/>
        <w:bottom w:val="none" w:sz="0" w:space="0" w:color="auto"/>
        <w:right w:val="none" w:sz="0" w:space="0" w:color="auto"/>
      </w:divBdr>
    </w:div>
    <w:div w:id="1694838252">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864176">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0391643">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77808771">
      <w:bodyDiv w:val="1"/>
      <w:marLeft w:val="0"/>
      <w:marRight w:val="0"/>
      <w:marTop w:val="0"/>
      <w:marBottom w:val="0"/>
      <w:divBdr>
        <w:top w:val="none" w:sz="0" w:space="0" w:color="auto"/>
        <w:left w:val="none" w:sz="0" w:space="0" w:color="auto"/>
        <w:bottom w:val="none" w:sz="0" w:space="0" w:color="auto"/>
        <w:right w:val="none" w:sz="0" w:space="0" w:color="auto"/>
      </w:divBdr>
    </w:div>
    <w:div w:id="192880228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54021842">
      <w:bodyDiv w:val="1"/>
      <w:marLeft w:val="0"/>
      <w:marRight w:val="0"/>
      <w:marTop w:val="0"/>
      <w:marBottom w:val="0"/>
      <w:divBdr>
        <w:top w:val="none" w:sz="0" w:space="0" w:color="auto"/>
        <w:left w:val="none" w:sz="0" w:space="0" w:color="auto"/>
        <w:bottom w:val="none" w:sz="0" w:space="0" w:color="auto"/>
        <w:right w:val="none" w:sz="0" w:space="0" w:color="auto"/>
      </w:divBdr>
    </w:div>
    <w:div w:id="1960642225">
      <w:bodyDiv w:val="1"/>
      <w:marLeft w:val="0"/>
      <w:marRight w:val="0"/>
      <w:marTop w:val="0"/>
      <w:marBottom w:val="0"/>
      <w:divBdr>
        <w:top w:val="none" w:sz="0" w:space="0" w:color="auto"/>
        <w:left w:val="none" w:sz="0" w:space="0" w:color="auto"/>
        <w:bottom w:val="none" w:sz="0" w:space="0" w:color="auto"/>
        <w:right w:val="none" w:sz="0" w:space="0" w:color="auto"/>
      </w:divBdr>
    </w:div>
    <w:div w:id="1964996561">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1981495558">
      <w:bodyDiv w:val="1"/>
      <w:marLeft w:val="0"/>
      <w:marRight w:val="0"/>
      <w:marTop w:val="0"/>
      <w:marBottom w:val="0"/>
      <w:divBdr>
        <w:top w:val="none" w:sz="0" w:space="0" w:color="auto"/>
        <w:left w:val="none" w:sz="0" w:space="0" w:color="auto"/>
        <w:bottom w:val="none" w:sz="0" w:space="0" w:color="auto"/>
        <w:right w:val="none" w:sz="0" w:space="0" w:color="auto"/>
      </w:divBdr>
    </w:div>
    <w:div w:id="1993828712">
      <w:bodyDiv w:val="1"/>
      <w:marLeft w:val="0"/>
      <w:marRight w:val="0"/>
      <w:marTop w:val="0"/>
      <w:marBottom w:val="0"/>
      <w:divBdr>
        <w:top w:val="none" w:sz="0" w:space="0" w:color="auto"/>
        <w:left w:val="none" w:sz="0" w:space="0" w:color="auto"/>
        <w:bottom w:val="none" w:sz="0" w:space="0" w:color="auto"/>
        <w:right w:val="none" w:sz="0" w:space="0" w:color="auto"/>
      </w:divBdr>
    </w:div>
    <w:div w:id="1999531464">
      <w:bodyDiv w:val="1"/>
      <w:marLeft w:val="0"/>
      <w:marRight w:val="0"/>
      <w:marTop w:val="0"/>
      <w:marBottom w:val="0"/>
      <w:divBdr>
        <w:top w:val="none" w:sz="0" w:space="0" w:color="auto"/>
        <w:left w:val="none" w:sz="0" w:space="0" w:color="auto"/>
        <w:bottom w:val="none" w:sz="0" w:space="0" w:color="auto"/>
        <w:right w:val="none" w:sz="0" w:space="0" w:color="auto"/>
      </w:divBdr>
    </w:div>
    <w:div w:id="2007632138">
      <w:bodyDiv w:val="1"/>
      <w:marLeft w:val="0"/>
      <w:marRight w:val="0"/>
      <w:marTop w:val="0"/>
      <w:marBottom w:val="0"/>
      <w:divBdr>
        <w:top w:val="none" w:sz="0" w:space="0" w:color="auto"/>
        <w:left w:val="none" w:sz="0" w:space="0" w:color="auto"/>
        <w:bottom w:val="none" w:sz="0" w:space="0" w:color="auto"/>
        <w:right w:val="none" w:sz="0" w:space="0" w:color="auto"/>
      </w:divBdr>
    </w:div>
    <w:div w:id="2009095536">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29940648">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73961321">
      <w:bodyDiv w:val="1"/>
      <w:marLeft w:val="0"/>
      <w:marRight w:val="0"/>
      <w:marTop w:val="0"/>
      <w:marBottom w:val="0"/>
      <w:divBdr>
        <w:top w:val="none" w:sz="0" w:space="0" w:color="auto"/>
        <w:left w:val="none" w:sz="0" w:space="0" w:color="auto"/>
        <w:bottom w:val="none" w:sz="0" w:space="0" w:color="auto"/>
        <w:right w:val="none" w:sz="0" w:space="0" w:color="auto"/>
      </w:divBdr>
    </w:div>
    <w:div w:id="2078700923">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089568078">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1172</Words>
  <Characters>669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2025-04-08T12:51:00Z</dcterms:created>
  <dcterms:modified xsi:type="dcterms:W3CDTF">2025-04-08T12:52:00Z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