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8B1B" w14:textId="4F246452" w:rsidR="005611A3" w:rsidRPr="00D51E44" w:rsidRDefault="00000000" w:rsidP="003D20E1">
      <w:pPr>
        <w:pStyle w:val="BodyB"/>
        <w:ind w:left="4536"/>
        <w:jc w:val="both"/>
        <w:rPr>
          <w:noProof/>
        </w:rPr>
      </w:pPr>
      <w:r w:rsidRPr="00D51E44">
        <w:rPr>
          <w:noProof/>
        </w:rPr>
        <w:t>Pielikums</w:t>
      </w:r>
    </w:p>
    <w:p w14:paraId="2E685896" w14:textId="6DA9A80B" w:rsidR="005611A3" w:rsidRPr="00D51E44" w:rsidRDefault="00000000" w:rsidP="003D20E1">
      <w:pPr>
        <w:pStyle w:val="BodyB"/>
        <w:spacing w:after="480"/>
        <w:ind w:left="4536"/>
        <w:jc w:val="both"/>
        <w:rPr>
          <w:noProof/>
        </w:rPr>
      </w:pPr>
      <w:r w:rsidRPr="00D51E44">
        <w:rPr>
          <w:noProof/>
        </w:rPr>
        <w:t>Slimību profilakses un kontroles centra</w:t>
      </w:r>
      <w:r>
        <w:rPr>
          <w:noProof/>
        </w:rPr>
        <w:t xml:space="preserve"> Datums skatāms laika zīmogā</w:t>
      </w:r>
      <w:r>
        <w:t xml:space="preserve">. </w:t>
      </w:r>
      <w:r w:rsidR="00F44453">
        <w:rPr>
          <w:rFonts w:eastAsia="Times New Roman"/>
          <w:lang w:eastAsia="en-US"/>
        </w:rPr>
        <w:t>vēstulei</w:t>
      </w:r>
      <w:r>
        <w:rPr>
          <w:rFonts w:eastAsia="Times New Roman"/>
          <w:lang w:eastAsia="en-US"/>
        </w:rPr>
        <w:t xml:space="preserve"> </w:t>
      </w:r>
      <w:r w:rsidRPr="00E267C0">
        <w:rPr>
          <w:rFonts w:eastAsia="Times New Roman"/>
          <w:lang w:eastAsia="en-US"/>
        </w:rPr>
        <w:t>Nr.</w:t>
      </w:r>
      <w:r>
        <w:rPr>
          <w:rFonts w:eastAsia="Times New Roman"/>
          <w:lang w:eastAsia="en-US"/>
        </w:rPr>
        <w:t> </w:t>
      </w:r>
      <w:r>
        <w:rPr>
          <w:rFonts w:eastAsia="Times New Roman"/>
          <w:noProof/>
          <w:lang w:eastAsia="en-US"/>
        </w:rPr>
        <w:t>1-8.2/2024/630</w:t>
      </w:r>
    </w:p>
    <w:p w14:paraId="3C5C7762" w14:textId="53C8FAF9" w:rsidR="00403EBB" w:rsidRPr="00403EBB" w:rsidRDefault="00000000" w:rsidP="003D20E1">
      <w:pPr>
        <w:pStyle w:val="BodyB"/>
        <w:jc w:val="center"/>
        <w:rPr>
          <w:b/>
          <w:bCs/>
          <w:sz w:val="28"/>
          <w:szCs w:val="28"/>
        </w:rPr>
      </w:pPr>
      <w:proofErr w:type="spellStart"/>
      <w:r w:rsidRPr="00403EBB">
        <w:rPr>
          <w:b/>
          <w:bCs/>
          <w:sz w:val="28"/>
          <w:szCs w:val="28"/>
        </w:rPr>
        <w:t>Hipervirulentā</w:t>
      </w:r>
      <w:proofErr w:type="spellEnd"/>
      <w:r w:rsidRPr="00403EBB">
        <w:rPr>
          <w:b/>
          <w:bCs/>
          <w:sz w:val="28"/>
          <w:szCs w:val="28"/>
        </w:rPr>
        <w:t xml:space="preserve"> </w:t>
      </w:r>
      <w:proofErr w:type="spellStart"/>
      <w:r w:rsidRPr="00403EBB">
        <w:rPr>
          <w:b/>
          <w:bCs/>
          <w:i/>
          <w:iCs/>
          <w:sz w:val="28"/>
          <w:szCs w:val="28"/>
        </w:rPr>
        <w:t>Klebsiella</w:t>
      </w:r>
      <w:proofErr w:type="spellEnd"/>
      <w:r w:rsidRPr="00403EBB">
        <w:rPr>
          <w:b/>
          <w:bCs/>
          <w:i/>
          <w:iCs/>
          <w:sz w:val="28"/>
          <w:szCs w:val="28"/>
        </w:rPr>
        <w:t xml:space="preserve"> </w:t>
      </w:r>
      <w:proofErr w:type="spellStart"/>
      <w:r w:rsidRPr="00403EBB">
        <w:rPr>
          <w:b/>
          <w:bCs/>
          <w:i/>
          <w:iCs/>
          <w:sz w:val="28"/>
          <w:szCs w:val="28"/>
        </w:rPr>
        <w:t>pneumoniae</w:t>
      </w:r>
      <w:proofErr w:type="spellEnd"/>
      <w:r w:rsidRPr="00403EBB">
        <w:rPr>
          <w:b/>
          <w:bCs/>
          <w:sz w:val="28"/>
          <w:szCs w:val="28"/>
        </w:rPr>
        <w:t xml:space="preserve"> (</w:t>
      </w:r>
      <w:proofErr w:type="spellStart"/>
      <w:r>
        <w:rPr>
          <w:b/>
          <w:bCs/>
          <w:sz w:val="28"/>
          <w:szCs w:val="28"/>
        </w:rPr>
        <w:t>h</w:t>
      </w:r>
      <w:r w:rsidRPr="00403EBB">
        <w:rPr>
          <w:b/>
          <w:bCs/>
          <w:sz w:val="28"/>
          <w:szCs w:val="28"/>
        </w:rPr>
        <w:t>vKp</w:t>
      </w:r>
      <w:proofErr w:type="spellEnd"/>
      <w:r w:rsidRPr="00403EBB">
        <w:rPr>
          <w:b/>
          <w:bCs/>
          <w:sz w:val="28"/>
          <w:szCs w:val="28"/>
        </w:rPr>
        <w:t>)</w:t>
      </w:r>
    </w:p>
    <w:p w14:paraId="4E21365B" w14:textId="77777777" w:rsidR="003D20E1" w:rsidRDefault="003D20E1" w:rsidP="003D20E1">
      <w:pPr>
        <w:pStyle w:val="BodyB"/>
        <w:jc w:val="center"/>
        <w:rPr>
          <w:b/>
          <w:bCs/>
        </w:rPr>
      </w:pPr>
    </w:p>
    <w:p w14:paraId="0B55C58D" w14:textId="6B2F2A8E" w:rsidR="00403EBB" w:rsidRDefault="00000000" w:rsidP="003D20E1">
      <w:pPr>
        <w:pStyle w:val="BodyB"/>
        <w:jc w:val="center"/>
        <w:rPr>
          <w:b/>
          <w:bCs/>
        </w:rPr>
      </w:pPr>
      <w:r w:rsidRPr="00403EBB">
        <w:rPr>
          <w:b/>
          <w:bCs/>
        </w:rPr>
        <w:t>Izplatība pasaulē, infekcijas klīniskais raksturojums, rezistence, transmisijas ceļi, laboratoriska testēšana, riski un profilakse</w:t>
      </w:r>
    </w:p>
    <w:p w14:paraId="78F2ECE9" w14:textId="77777777" w:rsidR="0020502F" w:rsidRPr="003D20E1" w:rsidRDefault="0020502F" w:rsidP="003D20E1">
      <w:pPr>
        <w:pStyle w:val="BodyB"/>
        <w:jc w:val="center"/>
        <w:rPr>
          <w:b/>
          <w:bCs/>
        </w:rPr>
      </w:pPr>
    </w:p>
    <w:p w14:paraId="7288E2F8" w14:textId="77777777" w:rsidR="00627352" w:rsidRDefault="00000000" w:rsidP="00627352">
      <w:pPr>
        <w:pStyle w:val="BodyB"/>
        <w:ind w:firstLine="720"/>
        <w:jc w:val="both"/>
      </w:pPr>
      <w:proofErr w:type="spellStart"/>
      <w:r>
        <w:t>HvKp</w:t>
      </w:r>
      <w:proofErr w:type="spellEnd"/>
      <w:r>
        <w:t xml:space="preserve"> ir klīniski nozīmīgs patogēns, kas izraisa </w:t>
      </w:r>
      <w:proofErr w:type="spellStart"/>
      <w:r>
        <w:t>invazīvas</w:t>
      </w:r>
      <w:proofErr w:type="spellEnd"/>
      <w:r>
        <w:t xml:space="preserve"> infekcijas, piemēram, pneimoniju vai plaušu abscesu, bet galvenokārt ir saistīts ar aknu abscesiem gan veseliem, gan cilvēkiem ar novājinātu imūnsistēmu. </w:t>
      </w:r>
      <w:proofErr w:type="spellStart"/>
      <w:r>
        <w:t>hvKp</w:t>
      </w:r>
      <w:proofErr w:type="spellEnd"/>
      <w:r>
        <w:t xml:space="preserve"> no šiem smagajiem </w:t>
      </w:r>
      <w:proofErr w:type="spellStart"/>
      <w:r>
        <w:t>piogēnajiem</w:t>
      </w:r>
      <w:proofErr w:type="spellEnd"/>
      <w:r>
        <w:t xml:space="preserve"> aknu abscesiem bieži izplatās uz citiem orgāniem un audiem, izraisot meningītu, </w:t>
      </w:r>
      <w:proofErr w:type="spellStart"/>
      <w:r>
        <w:t>nekrotizējošo</w:t>
      </w:r>
      <w:proofErr w:type="spellEnd"/>
      <w:r>
        <w:t xml:space="preserve"> </w:t>
      </w:r>
      <w:proofErr w:type="spellStart"/>
      <w:r>
        <w:t>fascītu</w:t>
      </w:r>
      <w:proofErr w:type="spellEnd"/>
      <w:r>
        <w:t xml:space="preserve"> un </w:t>
      </w:r>
      <w:proofErr w:type="spellStart"/>
      <w:r>
        <w:t>endoftalmītu</w:t>
      </w:r>
      <w:proofErr w:type="spellEnd"/>
      <w:r>
        <w:t xml:space="preserve">. Turklāt Austrālija ziņo par </w:t>
      </w:r>
      <w:proofErr w:type="spellStart"/>
      <w:r>
        <w:t>multifokālu</w:t>
      </w:r>
      <w:proofErr w:type="spellEnd"/>
      <w:r>
        <w:t xml:space="preserve"> </w:t>
      </w:r>
      <w:proofErr w:type="spellStart"/>
      <w:r>
        <w:t>osteomielītu</w:t>
      </w:r>
      <w:proofErr w:type="spellEnd"/>
      <w:r>
        <w:t xml:space="preserve"> iepriekš veselam 20 gadus vecam vīrietim, kas ir reta </w:t>
      </w:r>
      <w:proofErr w:type="spellStart"/>
      <w:r>
        <w:t>hvKp</w:t>
      </w:r>
      <w:proofErr w:type="spellEnd"/>
      <w:r>
        <w:t xml:space="preserve"> komplikācija. Proti, dzīvībai bīstamas </w:t>
      </w:r>
      <w:proofErr w:type="spellStart"/>
      <w:r>
        <w:t>hvKp</w:t>
      </w:r>
      <w:proofErr w:type="spellEnd"/>
      <w:r>
        <w:t xml:space="preserve"> infekcijas var rasties jauniem un veseliem indivīdiem, un inficēšanās ir saistīta ar augstu saslimstību un mirstību, galvenokārt </w:t>
      </w:r>
      <w:proofErr w:type="spellStart"/>
      <w:r>
        <w:t>hvKp</w:t>
      </w:r>
      <w:proofErr w:type="spellEnd"/>
      <w:r>
        <w:t xml:space="preserve"> augstās </w:t>
      </w:r>
      <w:proofErr w:type="spellStart"/>
      <w:r>
        <w:t>invazivitātes</w:t>
      </w:r>
      <w:proofErr w:type="spellEnd"/>
      <w:r>
        <w:t xml:space="preserve"> un infekcijas straujas progresēšanas dēļ. Ievērojams skaits </w:t>
      </w:r>
      <w:proofErr w:type="spellStart"/>
      <w:r>
        <w:t>hvKp</w:t>
      </w:r>
      <w:proofErr w:type="spellEnd"/>
      <w:r>
        <w:t xml:space="preserve"> infekciju ir sabiedrībā iegūtas, kas liecina, ka </w:t>
      </w:r>
      <w:proofErr w:type="spellStart"/>
      <w:r>
        <w:t>hvKp</w:t>
      </w:r>
      <w:proofErr w:type="spellEnd"/>
      <w:r>
        <w:t xml:space="preserve"> celmi cirkulē arī veselu indivīdu vidū. </w:t>
      </w:r>
    </w:p>
    <w:p w14:paraId="087843B3" w14:textId="77777777" w:rsidR="00627352" w:rsidRPr="003D20E1" w:rsidRDefault="00000000" w:rsidP="00627352">
      <w:pPr>
        <w:pStyle w:val="BodyB"/>
        <w:ind w:firstLine="720"/>
        <w:jc w:val="both"/>
      </w:pPr>
      <w:r>
        <w:t xml:space="preserve">Pirmie ziņojumi par </w:t>
      </w:r>
      <w:proofErr w:type="spellStart"/>
      <w:r>
        <w:t>hvKp</w:t>
      </w:r>
      <w:proofErr w:type="spellEnd"/>
      <w:r>
        <w:t xml:space="preserve"> bija saņemti no Taivānas un </w:t>
      </w:r>
      <w:proofErr w:type="spellStart"/>
      <w:r>
        <w:t>Dienvidaustrumāzijas</w:t>
      </w:r>
      <w:proofErr w:type="spellEnd"/>
      <w:r>
        <w:t xml:space="preserve"> 80. un 90. gadu vidū. </w:t>
      </w:r>
      <w:proofErr w:type="spellStart"/>
      <w:r>
        <w:t>HvKp</w:t>
      </w:r>
      <w:proofErr w:type="spellEnd"/>
      <w:r>
        <w:t xml:space="preserve"> tiek uzskatīts par galveno aknu abscesu cēloni Honkongā (Ķīna), Singapūrā, Dienvidkorejā un Taivānā. Desmit Ķīnas pilsētās vidēji 37,8% </w:t>
      </w:r>
      <w:proofErr w:type="spellStart"/>
      <w:r w:rsidRPr="00F8531D">
        <w:rPr>
          <w:i/>
          <w:iCs/>
        </w:rPr>
        <w:t>K.pneumoniae</w:t>
      </w:r>
      <w:proofErr w:type="spellEnd"/>
      <w:r>
        <w:t xml:space="preserve"> </w:t>
      </w:r>
      <w:proofErr w:type="spellStart"/>
      <w:r>
        <w:t>izolātu</w:t>
      </w:r>
      <w:proofErr w:type="spellEnd"/>
      <w:r>
        <w:t xml:space="preserve">, kas izraisa ar veselības aprūpi saistītas infekcijas, ir </w:t>
      </w:r>
      <w:proofErr w:type="spellStart"/>
      <w:r>
        <w:t>hvKp</w:t>
      </w:r>
      <w:proofErr w:type="spellEnd"/>
      <w:r>
        <w:t xml:space="preserve">, un lielākais procentuālais daudzums (73,9%) Uhaņā. Pārskati no citiem ģeogrāfiskajiem reģioniem norāda uz globālo izplatību. Eiropā, kā arī Kanādā un ASV ir ziņots par sporādiskiem aknu abscesa gadījumiem </w:t>
      </w:r>
      <w:proofErr w:type="spellStart"/>
      <w:r>
        <w:t>hvKp</w:t>
      </w:r>
      <w:proofErr w:type="spellEnd"/>
      <w:r>
        <w:t xml:space="preserve"> dēļ, kas bieži saistīti ar ceļošanu vai migrāciju. Kanādas pētījumā par </w:t>
      </w:r>
      <w:r w:rsidRPr="60C09880">
        <w:rPr>
          <w:i/>
          <w:iCs/>
        </w:rPr>
        <w:t xml:space="preserve">K. </w:t>
      </w:r>
      <w:proofErr w:type="spellStart"/>
      <w:r w:rsidRPr="60C09880">
        <w:rPr>
          <w:i/>
          <w:iCs/>
        </w:rPr>
        <w:t>pneumoniae</w:t>
      </w:r>
      <w:proofErr w:type="spellEnd"/>
      <w:r>
        <w:t xml:space="preserve"> </w:t>
      </w:r>
      <w:proofErr w:type="spellStart"/>
      <w:r>
        <w:t>izolātiem</w:t>
      </w:r>
      <w:proofErr w:type="spellEnd"/>
      <w:r>
        <w:t xml:space="preserve">, kas Kalgari apgabalā izraisīja sabiedrībā iegūto </w:t>
      </w:r>
      <w:proofErr w:type="spellStart"/>
      <w:r>
        <w:t>bakteriēmiju</w:t>
      </w:r>
      <w:proofErr w:type="spellEnd"/>
      <w:r>
        <w:t xml:space="preserve">, 10 (8,2 %) no 134 </w:t>
      </w:r>
      <w:proofErr w:type="spellStart"/>
      <w:r>
        <w:t>izolātiem</w:t>
      </w:r>
      <w:proofErr w:type="spellEnd"/>
      <w:r>
        <w:t xml:space="preserve"> bija </w:t>
      </w:r>
      <w:proofErr w:type="spellStart"/>
      <w:r>
        <w:t>hipermukoviskozs</w:t>
      </w:r>
      <w:proofErr w:type="spellEnd"/>
      <w:r>
        <w:t xml:space="preserve"> fenotips. ASV veiktajā pētījumā par </w:t>
      </w:r>
      <w:r w:rsidRPr="60C09880">
        <w:rPr>
          <w:i/>
          <w:iCs/>
        </w:rPr>
        <w:t xml:space="preserve">K. </w:t>
      </w:r>
      <w:proofErr w:type="spellStart"/>
      <w:r w:rsidRPr="60C09880">
        <w:rPr>
          <w:i/>
          <w:iCs/>
        </w:rPr>
        <w:t>pneumoniae</w:t>
      </w:r>
      <w:proofErr w:type="spellEnd"/>
      <w:r>
        <w:t xml:space="preserve"> asinsrites </w:t>
      </w:r>
      <w:proofErr w:type="spellStart"/>
      <w:r>
        <w:t>izolātiem</w:t>
      </w:r>
      <w:proofErr w:type="spellEnd"/>
      <w:r>
        <w:t xml:space="preserve"> no divām slimnīcām Hjūstonā, Teksasā, četros (6,3%) no 64 </w:t>
      </w:r>
      <w:proofErr w:type="spellStart"/>
      <w:r>
        <w:t>izolātiem</w:t>
      </w:r>
      <w:proofErr w:type="spellEnd"/>
      <w:r>
        <w:t xml:space="preserve"> bija vismaz viens no </w:t>
      </w:r>
      <w:proofErr w:type="spellStart"/>
      <w:r>
        <w:t>virulences</w:t>
      </w:r>
      <w:proofErr w:type="spellEnd"/>
      <w:r>
        <w:t xml:space="preserve"> gēniem </w:t>
      </w:r>
      <w:proofErr w:type="spellStart"/>
      <w:r>
        <w:t>rmpA</w:t>
      </w:r>
      <w:proofErr w:type="spellEnd"/>
      <w:r>
        <w:t xml:space="preserve"> un </w:t>
      </w:r>
      <w:proofErr w:type="spellStart"/>
      <w:r>
        <w:t>magA</w:t>
      </w:r>
      <w:proofErr w:type="spellEnd"/>
      <w:r>
        <w:t xml:space="preserve">. Pārbaudot pacientus Ņujorkas slimnīcā, tika atklāti vairāki </w:t>
      </w:r>
      <w:proofErr w:type="spellStart"/>
      <w:r>
        <w:t>hvKp</w:t>
      </w:r>
      <w:proofErr w:type="spellEnd"/>
      <w:r>
        <w:t xml:space="preserve"> celmi, kas iegūti kopienā, kā rezultātā autori secināja, ka Ņujorkā ir izveidoti vairāki </w:t>
      </w:r>
      <w:proofErr w:type="spellStart"/>
      <w:r>
        <w:t>hvKp</w:t>
      </w:r>
      <w:proofErr w:type="spellEnd"/>
      <w:r>
        <w:t xml:space="preserve"> kloni. Dati par </w:t>
      </w:r>
      <w:proofErr w:type="spellStart"/>
      <w:r>
        <w:t>hvKp</w:t>
      </w:r>
      <w:proofErr w:type="spellEnd"/>
      <w:r>
        <w:t xml:space="preserve"> infekciju izplatību ES/EEZ ir maz. Pētījumā par </w:t>
      </w:r>
      <w:proofErr w:type="spellStart"/>
      <w:r>
        <w:t>hvKp</w:t>
      </w:r>
      <w:proofErr w:type="spellEnd"/>
      <w:r>
        <w:t xml:space="preserve"> izraisītu </w:t>
      </w:r>
      <w:proofErr w:type="spellStart"/>
      <w:r>
        <w:t>bakterēmiju</w:t>
      </w:r>
      <w:proofErr w:type="spellEnd"/>
      <w:r>
        <w:t xml:space="preserve"> mācību slimnīcā Barselonā (Spānija) laika posmā no 2007. līdz 2013. gadam 1,8% no asins </w:t>
      </w:r>
      <w:proofErr w:type="spellStart"/>
      <w:r>
        <w:t>izolātiem</w:t>
      </w:r>
      <w:proofErr w:type="spellEnd"/>
      <w:r>
        <w:t xml:space="preserve"> bija </w:t>
      </w:r>
      <w:proofErr w:type="spellStart"/>
      <w:r>
        <w:t>hvKp</w:t>
      </w:r>
      <w:proofErr w:type="spellEnd"/>
      <w:r>
        <w:t xml:space="preserve"> ST23. </w:t>
      </w:r>
    </w:p>
    <w:p w14:paraId="73B143F4" w14:textId="77777777" w:rsidR="00627352" w:rsidRDefault="00627352" w:rsidP="003D20E1">
      <w:pPr>
        <w:pStyle w:val="BodyB"/>
        <w:jc w:val="center"/>
        <w:rPr>
          <w:b/>
          <w:bCs/>
        </w:rPr>
      </w:pPr>
    </w:p>
    <w:p w14:paraId="3A828661" w14:textId="4E88DDC9" w:rsidR="003D20E1" w:rsidRPr="003D20E1" w:rsidRDefault="00000000" w:rsidP="003D20E1">
      <w:pPr>
        <w:pStyle w:val="BodyB"/>
        <w:jc w:val="center"/>
        <w:rPr>
          <w:b/>
          <w:bCs/>
        </w:rPr>
      </w:pPr>
      <w:proofErr w:type="spellStart"/>
      <w:r w:rsidRPr="003D20E1">
        <w:rPr>
          <w:b/>
          <w:bCs/>
        </w:rPr>
        <w:t>hvKp</w:t>
      </w:r>
      <w:proofErr w:type="spellEnd"/>
      <w:r>
        <w:rPr>
          <w:b/>
          <w:bCs/>
        </w:rPr>
        <w:t xml:space="preserve"> </w:t>
      </w:r>
      <w:r w:rsidRPr="003D20E1">
        <w:rPr>
          <w:b/>
          <w:bCs/>
        </w:rPr>
        <w:t xml:space="preserve">ar </w:t>
      </w:r>
      <w:proofErr w:type="spellStart"/>
      <w:r>
        <w:rPr>
          <w:b/>
          <w:bCs/>
        </w:rPr>
        <w:t>k</w:t>
      </w:r>
      <w:r w:rsidRPr="003D20E1">
        <w:rPr>
          <w:b/>
          <w:bCs/>
        </w:rPr>
        <w:t>arbapenemāzes</w:t>
      </w:r>
      <w:proofErr w:type="spellEnd"/>
      <w:r w:rsidRPr="003D20E1">
        <w:rPr>
          <w:b/>
          <w:bCs/>
        </w:rPr>
        <w:t xml:space="preserve"> gēn</w:t>
      </w:r>
      <w:r>
        <w:rPr>
          <w:b/>
          <w:bCs/>
        </w:rPr>
        <w:t>iem</w:t>
      </w:r>
    </w:p>
    <w:p w14:paraId="647A876C" w14:textId="3F23A4F1" w:rsidR="003D20E1" w:rsidRDefault="00000000" w:rsidP="003D20E1">
      <w:pPr>
        <w:pStyle w:val="BodyB"/>
        <w:ind w:firstLine="720"/>
        <w:jc w:val="both"/>
      </w:pPr>
      <w:r>
        <w:t xml:space="preserve">Bažas rada </w:t>
      </w:r>
      <w:proofErr w:type="spellStart"/>
      <w:r>
        <w:t>virulences</w:t>
      </w:r>
      <w:proofErr w:type="spellEnd"/>
      <w:r>
        <w:t xml:space="preserve"> un </w:t>
      </w:r>
      <w:proofErr w:type="spellStart"/>
      <w:r>
        <w:t>karbapenēma</w:t>
      </w:r>
      <w:proofErr w:type="spellEnd"/>
      <w:r>
        <w:t xml:space="preserve"> rezistences gēnu kombinācija tajā pašā </w:t>
      </w:r>
      <w:proofErr w:type="spellStart"/>
      <w:r>
        <w:t>plazmīdā</w:t>
      </w:r>
      <w:proofErr w:type="spellEnd"/>
      <w:r>
        <w:t xml:space="preserve">, jo tas ļauj vienlaikus iegūt </w:t>
      </w:r>
      <w:proofErr w:type="spellStart"/>
      <w:r>
        <w:t>virulences</w:t>
      </w:r>
      <w:proofErr w:type="spellEnd"/>
      <w:r>
        <w:t xml:space="preserve"> un rezistences gēnus. Pētnieki no Apvienotās Karalistes aprakstīja </w:t>
      </w:r>
      <w:proofErr w:type="spellStart"/>
      <w:r>
        <w:t>virulences</w:t>
      </w:r>
      <w:proofErr w:type="spellEnd"/>
      <w:r>
        <w:t xml:space="preserve"> </w:t>
      </w:r>
      <w:proofErr w:type="spellStart"/>
      <w:r>
        <w:t>plazmīdas</w:t>
      </w:r>
      <w:proofErr w:type="spellEnd"/>
      <w:r>
        <w:t xml:space="preserve"> arī dažādu “augsta riska” </w:t>
      </w:r>
      <w:proofErr w:type="spellStart"/>
      <w:r w:rsidRPr="00F8531D">
        <w:rPr>
          <w:i/>
          <w:iCs/>
        </w:rPr>
        <w:t>K.pneumoniae</w:t>
      </w:r>
      <w:proofErr w:type="spellEnd"/>
      <w:r>
        <w:t xml:space="preserve"> sekvences tipu (piemēram, ST15, ST101 un ST147) ar veselības aprūpi saistītos </w:t>
      </w:r>
      <w:proofErr w:type="spellStart"/>
      <w:r>
        <w:t>izolātos</w:t>
      </w:r>
      <w:proofErr w:type="spellEnd"/>
      <w:r>
        <w:t xml:space="preserve">, kuros bija </w:t>
      </w:r>
      <w:proofErr w:type="spellStart"/>
      <w:r>
        <w:t>karbapenemāzes</w:t>
      </w:r>
      <w:proofErr w:type="spellEnd"/>
      <w:r>
        <w:t xml:space="preserve"> gēni. Konkrētāk, NDM producējoša </w:t>
      </w:r>
      <w:proofErr w:type="spellStart"/>
      <w:r>
        <w:t>hipervirulentā</w:t>
      </w:r>
      <w:proofErr w:type="spellEnd"/>
      <w:r>
        <w:t xml:space="preserve"> </w:t>
      </w:r>
      <w:r w:rsidRPr="60C09880">
        <w:rPr>
          <w:i/>
          <w:iCs/>
        </w:rPr>
        <w:t xml:space="preserve">K. </w:t>
      </w:r>
      <w:proofErr w:type="spellStart"/>
      <w:r w:rsidRPr="60C09880">
        <w:rPr>
          <w:i/>
          <w:iCs/>
        </w:rPr>
        <w:t>pneumoniae</w:t>
      </w:r>
      <w:proofErr w:type="spellEnd"/>
      <w:r>
        <w:t xml:space="preserve"> ST23 tika izolēta pacientam no Bangladešas, kurš tika hospitalizēts Londonā (Apvienotajā Karalistē). </w:t>
      </w:r>
      <w:proofErr w:type="spellStart"/>
      <w:r>
        <w:t>Karbapenemāzi</w:t>
      </w:r>
      <w:proofErr w:type="spellEnd"/>
      <w:r>
        <w:t xml:space="preserve"> producējošas </w:t>
      </w:r>
      <w:proofErr w:type="spellStart"/>
      <w:r>
        <w:t>hvKp</w:t>
      </w:r>
      <w:proofErr w:type="spellEnd"/>
      <w:r>
        <w:t xml:space="preserve"> ST23 celmi ir aprakstīti arī Argentīnā. Nesenā ziņojumā no Indijas jaundzimušais tika inficēts ar OXA-232 producējošu </w:t>
      </w:r>
      <w:proofErr w:type="spellStart"/>
      <w:r>
        <w:t>hvKp</w:t>
      </w:r>
      <w:proofErr w:type="spellEnd"/>
      <w:r>
        <w:t xml:space="preserve"> ST23-K1 celmu, izraisot jaundzimušo sepsi.</w:t>
      </w:r>
    </w:p>
    <w:p w14:paraId="5A8B43A3" w14:textId="7825EBD0" w:rsidR="003D20E1" w:rsidRPr="003D20E1" w:rsidRDefault="00000000" w:rsidP="003D20E1">
      <w:pPr>
        <w:pStyle w:val="BodyB"/>
        <w:jc w:val="center"/>
        <w:rPr>
          <w:b/>
          <w:bCs/>
          <w:sz w:val="28"/>
          <w:szCs w:val="28"/>
        </w:rPr>
      </w:pPr>
      <w:r w:rsidRPr="003D20E1">
        <w:rPr>
          <w:b/>
          <w:bCs/>
          <w:sz w:val="28"/>
          <w:szCs w:val="28"/>
        </w:rPr>
        <w:t>Riska novērtējums EU/EEZ valstīs</w:t>
      </w:r>
    </w:p>
    <w:p w14:paraId="2D174389" w14:textId="2D57405C" w:rsidR="003D20E1" w:rsidRPr="003D20E1" w:rsidRDefault="00000000" w:rsidP="003D20E1">
      <w:pPr>
        <w:pStyle w:val="BodyB"/>
        <w:jc w:val="center"/>
        <w:rPr>
          <w:b/>
          <w:bCs/>
        </w:rPr>
      </w:pPr>
      <w:r>
        <w:rPr>
          <w:b/>
          <w:bCs/>
        </w:rPr>
        <w:t>S</w:t>
      </w:r>
      <w:r w:rsidRPr="003D20E1">
        <w:rPr>
          <w:b/>
          <w:bCs/>
        </w:rPr>
        <w:t>aslimšanu spektr</w:t>
      </w:r>
      <w:r>
        <w:rPr>
          <w:b/>
          <w:bCs/>
        </w:rPr>
        <w:t>a</w:t>
      </w:r>
      <w:r w:rsidRPr="003D20E1">
        <w:rPr>
          <w:b/>
          <w:bCs/>
        </w:rPr>
        <w:t xml:space="preserve"> </w:t>
      </w:r>
      <w:r>
        <w:rPr>
          <w:b/>
          <w:bCs/>
        </w:rPr>
        <w:t>p</w:t>
      </w:r>
      <w:r w:rsidRPr="003D20E1">
        <w:rPr>
          <w:b/>
          <w:bCs/>
        </w:rPr>
        <w:t>aplašinā</w:t>
      </w:r>
      <w:r>
        <w:rPr>
          <w:b/>
          <w:bCs/>
        </w:rPr>
        <w:t>šanās</w:t>
      </w:r>
      <w:r w:rsidRPr="003D20E1">
        <w:rPr>
          <w:b/>
          <w:bCs/>
        </w:rPr>
        <w:t xml:space="preserve"> un mirstība</w:t>
      </w:r>
    </w:p>
    <w:p w14:paraId="1CB05BC3" w14:textId="77777777" w:rsidR="00627352" w:rsidRDefault="00000000" w:rsidP="00627352">
      <w:pPr>
        <w:pStyle w:val="BodyB"/>
        <w:ind w:firstLine="720"/>
        <w:jc w:val="both"/>
      </w:pPr>
      <w:r>
        <w:t xml:space="preserve">Paaugstinātās </w:t>
      </w:r>
      <w:proofErr w:type="spellStart"/>
      <w:r>
        <w:t>virulences</w:t>
      </w:r>
      <w:proofErr w:type="spellEnd"/>
      <w:r>
        <w:t xml:space="preserve"> dēļ </w:t>
      </w:r>
      <w:proofErr w:type="spellStart"/>
      <w:r>
        <w:t>hvKp</w:t>
      </w:r>
      <w:proofErr w:type="spellEnd"/>
      <w:r>
        <w:t xml:space="preserve"> izraisa atšķirīgu slimību spektru nekā “klasiskās” (</w:t>
      </w:r>
      <w:proofErr w:type="spellStart"/>
      <w:r>
        <w:t>nehipervirulentās</w:t>
      </w:r>
      <w:proofErr w:type="spellEnd"/>
      <w:r>
        <w:t xml:space="preserve">) </w:t>
      </w:r>
      <w:r w:rsidRPr="0020502F">
        <w:rPr>
          <w:i/>
          <w:iCs/>
        </w:rPr>
        <w:t xml:space="preserve">K. </w:t>
      </w:r>
      <w:proofErr w:type="spellStart"/>
      <w:r w:rsidRPr="0020502F">
        <w:rPr>
          <w:i/>
          <w:iCs/>
        </w:rPr>
        <w:t>pneumoniae</w:t>
      </w:r>
      <w:proofErr w:type="spellEnd"/>
      <w:r>
        <w:t xml:space="preserve"> infekcijas, kas zināmas ārstiem ES/EEZ valstīs. Lai gan “klasiskā” </w:t>
      </w:r>
      <w:r w:rsidRPr="0020502F">
        <w:rPr>
          <w:i/>
          <w:iCs/>
        </w:rPr>
        <w:t xml:space="preserve">K. </w:t>
      </w:r>
      <w:proofErr w:type="spellStart"/>
      <w:r w:rsidRPr="0020502F">
        <w:rPr>
          <w:i/>
          <w:iCs/>
        </w:rPr>
        <w:t>pneumoniae</w:t>
      </w:r>
      <w:proofErr w:type="spellEnd"/>
      <w:r>
        <w:t xml:space="preserve"> ir oportūnistisks patogēns, kas parasti skar neaizsargātus pacientus </w:t>
      </w:r>
      <w:r>
        <w:lastRenderedPageBreak/>
        <w:t xml:space="preserve">ar </w:t>
      </w:r>
      <w:proofErr w:type="spellStart"/>
      <w:r>
        <w:t>blakusslimībām</w:t>
      </w:r>
      <w:proofErr w:type="spellEnd"/>
      <w:r>
        <w:t xml:space="preserve"> veselības aprūpes iestādēs, </w:t>
      </w:r>
      <w:proofErr w:type="spellStart"/>
      <w:r>
        <w:t>hvKp</w:t>
      </w:r>
      <w:proofErr w:type="spellEnd"/>
      <w:r>
        <w:t xml:space="preserve"> spēj izraisīt infekcijas iepriekš veseliem indivīdiem. Āzijas valstīs, kur tā ir endēmiska, </w:t>
      </w:r>
      <w:proofErr w:type="spellStart"/>
      <w:r>
        <w:t>hvKp</w:t>
      </w:r>
      <w:proofErr w:type="spellEnd"/>
      <w:r>
        <w:t xml:space="preserve"> ir parādījies kā biežs </w:t>
      </w:r>
      <w:proofErr w:type="spellStart"/>
      <w:r>
        <w:t>piogēna</w:t>
      </w:r>
      <w:proofErr w:type="spellEnd"/>
      <w:r>
        <w:t xml:space="preserve"> aknu abscesa, sabiedrībā iegūtas pneimonijas (</w:t>
      </w:r>
      <w:proofErr w:type="spellStart"/>
      <w:r>
        <w:t>community-acquired</w:t>
      </w:r>
      <w:proofErr w:type="spellEnd"/>
      <w:r>
        <w:t xml:space="preserve"> </w:t>
      </w:r>
      <w:proofErr w:type="spellStart"/>
      <w:r>
        <w:t>pneumonia</w:t>
      </w:r>
      <w:proofErr w:type="spellEnd"/>
      <w:r>
        <w:t xml:space="preserve">, CAP) un sabiedrībā iegūta meningīta cēlonis, savukārt šie infekcijas veidi neeksistē vai ir reti sastopami ar “klasisko” </w:t>
      </w:r>
      <w:r w:rsidRPr="0020502F">
        <w:rPr>
          <w:i/>
          <w:iCs/>
        </w:rPr>
        <w:t xml:space="preserve">K. </w:t>
      </w:r>
      <w:proofErr w:type="spellStart"/>
      <w:r w:rsidRPr="0020502F">
        <w:rPr>
          <w:i/>
          <w:iCs/>
        </w:rPr>
        <w:t>pneumoniae</w:t>
      </w:r>
      <w:proofErr w:type="spellEnd"/>
      <w:r>
        <w:t xml:space="preserve"> infekciju. Endēmiskās valstīs </w:t>
      </w:r>
      <w:proofErr w:type="spellStart"/>
      <w:r>
        <w:t>hvKp</w:t>
      </w:r>
      <w:proofErr w:type="spellEnd"/>
      <w:r>
        <w:t xml:space="preserve"> ir ne tikai galvenais iepriekšminēto infekciju cēlonis, bet arī palielina </w:t>
      </w:r>
      <w:proofErr w:type="spellStart"/>
      <w:r>
        <w:t>piogēnu</w:t>
      </w:r>
      <w:proofErr w:type="spellEnd"/>
      <w:r>
        <w:t xml:space="preserve"> aknu abscesu sastopamību. Ir arī daži pierādījumi, ka apgabalos, kur </w:t>
      </w:r>
      <w:proofErr w:type="spellStart"/>
      <w:r>
        <w:t>hvKp</w:t>
      </w:r>
      <w:proofErr w:type="spellEnd"/>
      <w:r>
        <w:t xml:space="preserve"> ir endēmisks, </w:t>
      </w:r>
      <w:r w:rsidRPr="0020502F">
        <w:rPr>
          <w:i/>
          <w:iCs/>
        </w:rPr>
        <w:t xml:space="preserve">K. </w:t>
      </w:r>
      <w:proofErr w:type="spellStart"/>
      <w:r w:rsidRPr="0020502F">
        <w:rPr>
          <w:i/>
          <w:iCs/>
        </w:rPr>
        <w:t>pneumoniae</w:t>
      </w:r>
      <w:proofErr w:type="spellEnd"/>
      <w:r>
        <w:t xml:space="preserve"> daļēji aizstāj citus patogēnus, piemēram, </w:t>
      </w:r>
      <w:proofErr w:type="spellStart"/>
      <w:r w:rsidRPr="0020502F">
        <w:rPr>
          <w:i/>
          <w:iCs/>
        </w:rPr>
        <w:t>Streptococcus</w:t>
      </w:r>
      <w:proofErr w:type="spellEnd"/>
      <w:r w:rsidRPr="0020502F">
        <w:rPr>
          <w:i/>
          <w:iCs/>
        </w:rPr>
        <w:t xml:space="preserve"> </w:t>
      </w:r>
      <w:proofErr w:type="spellStart"/>
      <w:r w:rsidRPr="0020502F">
        <w:rPr>
          <w:i/>
          <w:iCs/>
        </w:rPr>
        <w:t>pneumoniae</w:t>
      </w:r>
      <w:proofErr w:type="spellEnd"/>
      <w:r w:rsidRPr="0020502F">
        <w:rPr>
          <w:i/>
          <w:iCs/>
        </w:rPr>
        <w:t xml:space="preserve"> </w:t>
      </w:r>
      <w:r>
        <w:t xml:space="preserve">kā biežu CAP cēloni. Vēl viena atšķirība no “klasiskās” </w:t>
      </w:r>
      <w:r w:rsidRPr="0020502F">
        <w:rPr>
          <w:i/>
          <w:iCs/>
        </w:rPr>
        <w:t xml:space="preserve">K. </w:t>
      </w:r>
      <w:proofErr w:type="spellStart"/>
      <w:r w:rsidRPr="0020502F">
        <w:rPr>
          <w:i/>
          <w:iCs/>
        </w:rPr>
        <w:t>pneumoniae</w:t>
      </w:r>
      <w:proofErr w:type="spellEnd"/>
      <w:r>
        <w:t xml:space="preserve"> infekcijas ir tā, ka </w:t>
      </w:r>
      <w:proofErr w:type="spellStart"/>
      <w:r>
        <w:t>hvKp</w:t>
      </w:r>
      <w:proofErr w:type="spellEnd"/>
      <w:r>
        <w:t xml:space="preserve"> infekcija bieži parādās pacientam vairākās vietās un ar </w:t>
      </w:r>
      <w:proofErr w:type="spellStart"/>
      <w:r>
        <w:t>metastātisku</w:t>
      </w:r>
      <w:proofErr w:type="spellEnd"/>
      <w:r>
        <w:t xml:space="preserve"> izplatību. Lai gan ES/EEZ specifiski dati par </w:t>
      </w:r>
      <w:proofErr w:type="spellStart"/>
      <w:r>
        <w:t>hvKp</w:t>
      </w:r>
      <w:proofErr w:type="spellEnd"/>
      <w:r>
        <w:t xml:space="preserve"> infekciju iznākumu nav pieejami, izņemot atsevišķus ziņojumus, sagaidāms, ka palielināts </w:t>
      </w:r>
      <w:proofErr w:type="spellStart"/>
      <w:r>
        <w:t>hvKp</w:t>
      </w:r>
      <w:proofErr w:type="spellEnd"/>
      <w:r>
        <w:t xml:space="preserve"> infekciju biežums, jo īpaši tiem, kas pārnēsā </w:t>
      </w:r>
      <w:proofErr w:type="spellStart"/>
      <w:r>
        <w:t>karbapenemāzi</w:t>
      </w:r>
      <w:proofErr w:type="spellEnd"/>
      <w:r>
        <w:t xml:space="preserve">, ES/EEZ palielinātu saslimstību. Četros no 28 </w:t>
      </w:r>
      <w:proofErr w:type="spellStart"/>
      <w:r>
        <w:t>hvKp</w:t>
      </w:r>
      <w:proofErr w:type="spellEnd"/>
      <w:r>
        <w:t xml:space="preserve"> ST23-K1 gadījumiem Īrijā atklāšanas brīdī bija simptomātiska infekcija  (trīs asinsrites infekcijas un viena urīnceļu infekcija); tomēr netika veikta sistemātiska </w:t>
      </w:r>
      <w:proofErr w:type="spellStart"/>
      <w:r>
        <w:t>asimptomātisku</w:t>
      </w:r>
      <w:proofErr w:type="spellEnd"/>
      <w:r>
        <w:t xml:space="preserve"> nēsātāju novērošana turpmākai </w:t>
      </w:r>
      <w:proofErr w:type="spellStart"/>
      <w:r>
        <w:t>hvKp</w:t>
      </w:r>
      <w:proofErr w:type="spellEnd"/>
      <w:r>
        <w:t xml:space="preserve"> infekcijas noteikšanai. </w:t>
      </w:r>
    </w:p>
    <w:p w14:paraId="4B939882" w14:textId="77777777" w:rsidR="00627352" w:rsidRDefault="00000000" w:rsidP="00627352">
      <w:pPr>
        <w:pStyle w:val="BodyB"/>
        <w:ind w:firstLine="720"/>
        <w:jc w:val="both"/>
      </w:pPr>
      <w:proofErr w:type="spellStart"/>
      <w:r>
        <w:t>Karbapenēma</w:t>
      </w:r>
      <w:proofErr w:type="spellEnd"/>
      <w:r>
        <w:t xml:space="preserve"> </w:t>
      </w:r>
      <w:proofErr w:type="spellStart"/>
      <w:r>
        <w:t>rezistenta</w:t>
      </w:r>
      <w:proofErr w:type="spellEnd"/>
      <w:r>
        <w:t xml:space="preserve"> </w:t>
      </w:r>
      <w:proofErr w:type="spellStart"/>
      <w:r>
        <w:t>hvKp</w:t>
      </w:r>
      <w:proofErr w:type="spellEnd"/>
      <w:r>
        <w:t xml:space="preserve"> uzliesmojumi slimnīcās ir saistīti ar ļoti augstu mirstību. Ar mehānisko ventilāciju asociēto pneimoniju (ventilator-</w:t>
      </w:r>
      <w:proofErr w:type="spellStart"/>
      <w:r>
        <w:t>associated</w:t>
      </w:r>
      <w:proofErr w:type="spellEnd"/>
      <w:r>
        <w:t xml:space="preserve"> </w:t>
      </w:r>
      <w:proofErr w:type="spellStart"/>
      <w:r>
        <w:t>pneumonia</w:t>
      </w:r>
      <w:proofErr w:type="spellEnd"/>
      <w:r>
        <w:t xml:space="preserve">; VAP) uzliesmojumā, ko izraisīja KPC-2 producējošais </w:t>
      </w:r>
      <w:proofErr w:type="spellStart"/>
      <w:r>
        <w:t>hvKp</w:t>
      </w:r>
      <w:proofErr w:type="spellEnd"/>
      <w:r>
        <w:t xml:space="preserve"> ST11, Ķīnas slimnīcā visi pieci skartie pacienti nomira no smagas plaušu infekcijas, vairāku orgānu mazspējas vai septiskā šoka dēļ. Līdzīgi, KPC-2, kas ražo </w:t>
      </w:r>
      <w:proofErr w:type="spellStart"/>
      <w:r>
        <w:t>hvKp</w:t>
      </w:r>
      <w:proofErr w:type="spellEnd"/>
      <w:r>
        <w:t xml:space="preserve"> ST11, uzliesmojumu intensīvās terapijas nodaļā (</w:t>
      </w:r>
      <w:proofErr w:type="spellStart"/>
      <w:r>
        <w:t>intensive</w:t>
      </w:r>
      <w:proofErr w:type="spellEnd"/>
      <w:r>
        <w:t xml:space="preserve"> </w:t>
      </w:r>
      <w:proofErr w:type="spellStart"/>
      <w:r>
        <w:t>care</w:t>
      </w:r>
      <w:proofErr w:type="spellEnd"/>
      <w:r>
        <w:t xml:space="preserve"> </w:t>
      </w:r>
      <w:proofErr w:type="spellStart"/>
      <w:r>
        <w:t>unit</w:t>
      </w:r>
      <w:proofErr w:type="spellEnd"/>
      <w:r>
        <w:t xml:space="preserve">; ICU) </w:t>
      </w:r>
      <w:proofErr w:type="spellStart"/>
      <w:r>
        <w:t>Vendžou</w:t>
      </w:r>
      <w:proofErr w:type="spellEnd"/>
      <w:r>
        <w:t xml:space="preserve">, Ķīnā, visi astoņi slimie pacienti vecumā no 13 līdz 69 gadiem nomira no elpošanas un vairāku orgānu mazspējas un septiskā šoka. VIM-2 producējošā </w:t>
      </w:r>
      <w:proofErr w:type="spellStart"/>
      <w:r>
        <w:t>hvKp</w:t>
      </w:r>
      <w:proofErr w:type="spellEnd"/>
      <w:r>
        <w:t xml:space="preserve"> ST23 uzliesmojumā starp mehāniski ventilētiem pacientiem Irānas ICU, nomira četri no pieciem pacientiem ar </w:t>
      </w:r>
      <w:proofErr w:type="spellStart"/>
      <w:r>
        <w:t>hvKp</w:t>
      </w:r>
      <w:proofErr w:type="spellEnd"/>
      <w:r>
        <w:t xml:space="preserve"> ST23, salīdzinot ar nevienu no 48 pacientiem ar VAP ar “klasisko” </w:t>
      </w:r>
      <w:r w:rsidRPr="60C09880">
        <w:rPr>
          <w:i/>
          <w:iCs/>
        </w:rPr>
        <w:t xml:space="preserve">K. </w:t>
      </w:r>
      <w:proofErr w:type="spellStart"/>
      <w:r w:rsidRPr="60C09880">
        <w:rPr>
          <w:i/>
          <w:iCs/>
        </w:rPr>
        <w:t>pneumoniae</w:t>
      </w:r>
      <w:proofErr w:type="spellEnd"/>
      <w:r>
        <w:t xml:space="preserve"> infekciju. Pētījumā no Austrumķīnas KPC-2, kas izraisīja </w:t>
      </w:r>
      <w:proofErr w:type="spellStart"/>
      <w:r>
        <w:t>hvKp</w:t>
      </w:r>
      <w:proofErr w:type="spellEnd"/>
      <w:r>
        <w:t xml:space="preserve"> meningītu, izraisīja visu 15 skarto pacientu nāvi, no kuriem lielākajai daļai iepriekš bija </w:t>
      </w:r>
      <w:proofErr w:type="spellStart"/>
      <w:r>
        <w:t>neiroķirurģiski</w:t>
      </w:r>
      <w:proofErr w:type="spellEnd"/>
      <w:r>
        <w:t xml:space="preserve"> stāvokļi. ASV ir pierādīts, ka mirstība no </w:t>
      </w:r>
      <w:proofErr w:type="spellStart"/>
      <w:r>
        <w:t>hvKp</w:t>
      </w:r>
      <w:proofErr w:type="spellEnd"/>
      <w:r>
        <w:t xml:space="preserve"> infekcijas ir augstāka nekā no “klasiskām” </w:t>
      </w:r>
      <w:r w:rsidRPr="60C09880">
        <w:rPr>
          <w:i/>
          <w:iCs/>
        </w:rPr>
        <w:t xml:space="preserve">K. </w:t>
      </w:r>
      <w:proofErr w:type="spellStart"/>
      <w:r w:rsidRPr="60C09880">
        <w:rPr>
          <w:i/>
          <w:iCs/>
        </w:rPr>
        <w:t>pneumoniae</w:t>
      </w:r>
      <w:proofErr w:type="spellEnd"/>
      <w:r>
        <w:t xml:space="preserve"> infekcijām un no </w:t>
      </w:r>
      <w:proofErr w:type="spellStart"/>
      <w:r>
        <w:t>multirezistentām</w:t>
      </w:r>
      <w:proofErr w:type="spellEnd"/>
      <w:r>
        <w:t xml:space="preserve"> “klasiskām” </w:t>
      </w:r>
      <w:r w:rsidRPr="60C09880">
        <w:rPr>
          <w:i/>
          <w:iCs/>
        </w:rPr>
        <w:t xml:space="preserve">K. </w:t>
      </w:r>
      <w:proofErr w:type="spellStart"/>
      <w:r w:rsidRPr="60C09880">
        <w:rPr>
          <w:i/>
          <w:iCs/>
        </w:rPr>
        <w:t>pneumoniae</w:t>
      </w:r>
      <w:proofErr w:type="spellEnd"/>
      <w:r>
        <w:t xml:space="preserve"> infekcijām. Lai gan mirstība no smagām </w:t>
      </w:r>
      <w:proofErr w:type="spellStart"/>
      <w:r>
        <w:t>karbapenemāzi</w:t>
      </w:r>
      <w:proofErr w:type="spellEnd"/>
      <w:r>
        <w:t xml:space="preserve"> producējošam “klasiskās” </w:t>
      </w:r>
      <w:r w:rsidRPr="60C09880">
        <w:rPr>
          <w:i/>
          <w:iCs/>
        </w:rPr>
        <w:t xml:space="preserve">K. </w:t>
      </w:r>
      <w:proofErr w:type="spellStart"/>
      <w:r w:rsidRPr="60C09880">
        <w:rPr>
          <w:i/>
          <w:iCs/>
        </w:rPr>
        <w:t>pneumoniae</w:t>
      </w:r>
      <w:proofErr w:type="spellEnd"/>
      <w:r>
        <w:t xml:space="preserve"> infekcijām jau ir augsta, ar ziņoto mirstības līmeni no 30 līdz 75 %, šķiet, ka, pamatojoties uz iepriekš minēto, mirstība ir vēl augstāka ar veselības aprūpi saistītām </w:t>
      </w:r>
      <w:proofErr w:type="spellStart"/>
      <w:r>
        <w:t>hvKp</w:t>
      </w:r>
      <w:proofErr w:type="spellEnd"/>
      <w:r>
        <w:t xml:space="preserve"> infekcijām, lai gan pašlaik ir pieejami tikai ierobežoti dati.</w:t>
      </w:r>
    </w:p>
    <w:p w14:paraId="139AE76A" w14:textId="62114511" w:rsidR="003D20E1" w:rsidRDefault="00000000" w:rsidP="00627352">
      <w:pPr>
        <w:pStyle w:val="BodyB"/>
        <w:ind w:firstLine="720"/>
        <w:jc w:val="both"/>
      </w:pPr>
      <w:r>
        <w:t xml:space="preserve"> </w:t>
      </w:r>
    </w:p>
    <w:p w14:paraId="7FA44357" w14:textId="7D877A88" w:rsidR="003D20E1" w:rsidRPr="003D20E1" w:rsidRDefault="00000000" w:rsidP="003D20E1">
      <w:pPr>
        <w:pStyle w:val="BodyB"/>
        <w:jc w:val="center"/>
        <w:rPr>
          <w:b/>
          <w:bCs/>
        </w:rPr>
      </w:pPr>
      <w:r w:rsidRPr="003D20E1">
        <w:rPr>
          <w:b/>
          <w:bCs/>
        </w:rPr>
        <w:t>Rezistences veidi</w:t>
      </w:r>
    </w:p>
    <w:p w14:paraId="3A82D6B8" w14:textId="77777777" w:rsidR="00627352" w:rsidRDefault="00000000" w:rsidP="00627352">
      <w:pPr>
        <w:pStyle w:val="BodyB"/>
        <w:ind w:firstLine="720"/>
        <w:jc w:val="both"/>
      </w:pPr>
      <w:r>
        <w:t xml:space="preserve">Saskaņā ar literatūru, kā arī parādīts ECDC analīzē, pēdējos gados </w:t>
      </w:r>
      <w:proofErr w:type="spellStart"/>
      <w:r>
        <w:t>hvKp</w:t>
      </w:r>
      <w:proofErr w:type="spellEnd"/>
      <w:r>
        <w:t xml:space="preserve"> </w:t>
      </w:r>
      <w:proofErr w:type="spellStart"/>
      <w:r>
        <w:t>izolātos</w:t>
      </w:r>
      <w:proofErr w:type="spellEnd"/>
      <w:r>
        <w:t xml:space="preserve"> ir atklāti dažādi </w:t>
      </w:r>
      <w:proofErr w:type="spellStart"/>
      <w:r>
        <w:t>karbapenemāzes</w:t>
      </w:r>
      <w:proofErr w:type="spellEnd"/>
      <w:r>
        <w:t xml:space="preserve"> gēni, tostarp blaOXA-48 līdzīgie, </w:t>
      </w:r>
      <w:proofErr w:type="spellStart"/>
      <w:r>
        <w:t>blaKPC</w:t>
      </w:r>
      <w:proofErr w:type="spellEnd"/>
      <w:r>
        <w:t xml:space="preserve">, </w:t>
      </w:r>
      <w:proofErr w:type="spellStart"/>
      <w:r>
        <w:t>blaNDM</w:t>
      </w:r>
      <w:proofErr w:type="spellEnd"/>
      <w:r>
        <w:t xml:space="preserve"> un </w:t>
      </w:r>
      <w:proofErr w:type="spellStart"/>
      <w:r>
        <w:t>blaVIM</w:t>
      </w:r>
      <w:proofErr w:type="spellEnd"/>
      <w:r>
        <w:t xml:space="preserve"> </w:t>
      </w:r>
      <w:proofErr w:type="spellStart"/>
      <w:r>
        <w:t>karbapenemāzes</w:t>
      </w:r>
      <w:proofErr w:type="spellEnd"/>
      <w:r>
        <w:t xml:space="preserve"> gēni. </w:t>
      </w:r>
      <w:proofErr w:type="spellStart"/>
      <w:r>
        <w:t>HvKp</w:t>
      </w:r>
      <w:proofErr w:type="spellEnd"/>
      <w:r>
        <w:t xml:space="preserve"> ST23-K1 </w:t>
      </w:r>
      <w:proofErr w:type="spellStart"/>
      <w:r>
        <w:t>izolātos</w:t>
      </w:r>
      <w:proofErr w:type="spellEnd"/>
      <w:r>
        <w:t xml:space="preserve"> ES/EEZ konstatēto </w:t>
      </w:r>
      <w:proofErr w:type="spellStart"/>
      <w:r>
        <w:t>karbapenemāzes</w:t>
      </w:r>
      <w:proofErr w:type="spellEnd"/>
      <w:r>
        <w:t xml:space="preserve"> gēnu spektrs ir palielinājies, atklājot </w:t>
      </w:r>
      <w:proofErr w:type="spellStart"/>
      <w:r>
        <w:t>izolātus</w:t>
      </w:r>
      <w:proofErr w:type="spellEnd"/>
      <w:r>
        <w:t xml:space="preserve">, kas satur blaNDM-1, blaKPC-2 un blaOXA-181 </w:t>
      </w:r>
      <w:proofErr w:type="spellStart"/>
      <w:r>
        <w:t>karbapenemāzes</w:t>
      </w:r>
      <w:proofErr w:type="spellEnd"/>
      <w:r>
        <w:t xml:space="preserve"> gēnus papildus </w:t>
      </w:r>
      <w:proofErr w:type="spellStart"/>
      <w:r>
        <w:t>izolātiem</w:t>
      </w:r>
      <w:proofErr w:type="spellEnd"/>
      <w:r>
        <w:t xml:space="preserve">, kas satur blaOXA-48 un blaVIM-1  jau aprakstīts iepriekšējā ECDC riska novērtējumā. </w:t>
      </w:r>
    </w:p>
    <w:p w14:paraId="36FEA106" w14:textId="77777777" w:rsidR="00627352" w:rsidRDefault="00000000" w:rsidP="00627352">
      <w:pPr>
        <w:pStyle w:val="BodyB"/>
        <w:ind w:firstLine="720"/>
        <w:jc w:val="both"/>
      </w:pPr>
      <w:proofErr w:type="spellStart"/>
      <w:r>
        <w:t>Izolāti</w:t>
      </w:r>
      <w:proofErr w:type="spellEnd"/>
      <w:r>
        <w:t xml:space="preserve"> ar un bez </w:t>
      </w:r>
      <w:proofErr w:type="spellStart"/>
      <w:r>
        <w:t>karbapenemāzes</w:t>
      </w:r>
      <w:proofErr w:type="spellEnd"/>
      <w:r>
        <w:t xml:space="preserve"> gēniem ir plaši izplatīti visā </w:t>
      </w:r>
      <w:proofErr w:type="spellStart"/>
      <w:r>
        <w:t>filoģenētiskajā</w:t>
      </w:r>
      <w:proofErr w:type="spellEnd"/>
      <w:r>
        <w:t xml:space="preserve"> kokā, kas norāda, ka </w:t>
      </w:r>
      <w:proofErr w:type="spellStart"/>
      <w:r>
        <w:t>karbapenemāzes</w:t>
      </w:r>
      <w:proofErr w:type="spellEnd"/>
      <w:r>
        <w:t xml:space="preserve"> gēna iegūšana, visticamāk, ir notikusi neatkarīgi, dažādos gadījumos un, iespējams, iegūstot rezistences </w:t>
      </w:r>
      <w:proofErr w:type="spellStart"/>
      <w:r>
        <w:t>plazmīdas</w:t>
      </w:r>
      <w:proofErr w:type="spellEnd"/>
      <w:r>
        <w:t xml:space="preserve">. </w:t>
      </w:r>
      <w:proofErr w:type="spellStart"/>
      <w:r>
        <w:t>HvKp</w:t>
      </w:r>
      <w:proofErr w:type="spellEnd"/>
      <w:r>
        <w:t xml:space="preserve"> ST23-K1 </w:t>
      </w:r>
      <w:proofErr w:type="spellStart"/>
      <w:r>
        <w:t>izolāti</w:t>
      </w:r>
      <w:proofErr w:type="spellEnd"/>
      <w:r>
        <w:t xml:space="preserve"> no ES/EEZ galvenokārt bija ieguvuši blaOXA-48 līdzīgus </w:t>
      </w:r>
      <w:proofErr w:type="spellStart"/>
      <w:r>
        <w:t>karbapenemāzes</w:t>
      </w:r>
      <w:proofErr w:type="spellEnd"/>
      <w:r>
        <w:t xml:space="preserve"> gēnus, kas bieži izraisa zemu </w:t>
      </w:r>
      <w:proofErr w:type="spellStart"/>
      <w:r>
        <w:t>karbapenēma</w:t>
      </w:r>
      <w:proofErr w:type="spellEnd"/>
      <w:r>
        <w:t xml:space="preserve"> rezistenci. Tomēr ir aprakstītas neveiksmīgas </w:t>
      </w:r>
      <w:proofErr w:type="spellStart"/>
      <w:r>
        <w:t>karbapenēma</w:t>
      </w:r>
      <w:proofErr w:type="spellEnd"/>
      <w:r>
        <w:t xml:space="preserve"> terapijas, ārstējot infekcijas ar OXA-48 producējošām baktērijām, kā arī modeļos ar dzīvniekiem </w:t>
      </w:r>
      <w:proofErr w:type="spellStart"/>
      <w:r>
        <w:t>karbapenēmu</w:t>
      </w:r>
      <w:proofErr w:type="spellEnd"/>
      <w:r>
        <w:t xml:space="preserve"> efektivitātes trūkums pret OXA-48 producējošām </w:t>
      </w:r>
      <w:proofErr w:type="spellStart"/>
      <w:r w:rsidRPr="60C09880">
        <w:rPr>
          <w:i/>
          <w:iCs/>
        </w:rPr>
        <w:t>Enterobacterales</w:t>
      </w:r>
      <w:proofErr w:type="spellEnd"/>
      <w:r>
        <w:t xml:space="preserve">, neskatoties uz </w:t>
      </w:r>
      <w:proofErr w:type="spellStart"/>
      <w:r>
        <w:t>in</w:t>
      </w:r>
      <w:proofErr w:type="spellEnd"/>
      <w:r>
        <w:t xml:space="preserve"> </w:t>
      </w:r>
      <w:proofErr w:type="spellStart"/>
      <w:r>
        <w:t>vitro</w:t>
      </w:r>
      <w:proofErr w:type="spellEnd"/>
      <w:r>
        <w:t xml:space="preserve"> jutību pret </w:t>
      </w:r>
      <w:proofErr w:type="spellStart"/>
      <w:r>
        <w:t>karbapenēmiem</w:t>
      </w:r>
      <w:proofErr w:type="spellEnd"/>
      <w:r>
        <w:t xml:space="preserve">. Turklāt 24 no 105 </w:t>
      </w:r>
      <w:proofErr w:type="spellStart"/>
      <w:r>
        <w:t>hvKp</w:t>
      </w:r>
      <w:proofErr w:type="spellEnd"/>
      <w:r>
        <w:t xml:space="preserve"> ST23-K1 </w:t>
      </w:r>
      <w:proofErr w:type="spellStart"/>
      <w:r>
        <w:t>izolātiem</w:t>
      </w:r>
      <w:proofErr w:type="spellEnd"/>
      <w:r>
        <w:t xml:space="preserve">, kas satur blaOXA-48 līdzīgus gēnus, saturēja arī blaCTX-M-15, tādējādi izslēdzot trešās paaudzes </w:t>
      </w:r>
      <w:proofErr w:type="spellStart"/>
      <w:r>
        <w:t>cefalosporīnus</w:t>
      </w:r>
      <w:proofErr w:type="spellEnd"/>
      <w:r>
        <w:t xml:space="preserve"> kā ārstēšanas iespēju. Turklāt literatūrā ir aprakstīti </w:t>
      </w:r>
      <w:proofErr w:type="spellStart"/>
      <w:r>
        <w:t>hvKp</w:t>
      </w:r>
      <w:proofErr w:type="spellEnd"/>
      <w:r>
        <w:t xml:space="preserve"> ST23 </w:t>
      </w:r>
      <w:proofErr w:type="spellStart"/>
      <w:r>
        <w:t>izolāti</w:t>
      </w:r>
      <w:proofErr w:type="spellEnd"/>
      <w:r>
        <w:t xml:space="preserve">, kas ir </w:t>
      </w:r>
      <w:proofErr w:type="spellStart"/>
      <w:r>
        <w:lastRenderedPageBreak/>
        <w:t>rezistenti</w:t>
      </w:r>
      <w:proofErr w:type="spellEnd"/>
      <w:r>
        <w:t xml:space="preserve"> pret pēdējās izvēles antibiotikām, piemēram, </w:t>
      </w:r>
      <w:proofErr w:type="spellStart"/>
      <w:r>
        <w:t>kolistīnu</w:t>
      </w:r>
      <w:proofErr w:type="spellEnd"/>
      <w:r>
        <w:t xml:space="preserve"> vai </w:t>
      </w:r>
      <w:proofErr w:type="spellStart"/>
      <w:r>
        <w:t>ceftazidīma-avibaktāmu</w:t>
      </w:r>
      <w:proofErr w:type="spellEnd"/>
      <w:r>
        <w:t>. No Spānijas tika ziņots par plašas zāļu rezistences (</w:t>
      </w:r>
      <w:proofErr w:type="spellStart"/>
      <w:r>
        <w:t>extensively</w:t>
      </w:r>
      <w:proofErr w:type="spellEnd"/>
      <w:r>
        <w:t xml:space="preserve"> </w:t>
      </w:r>
      <w:proofErr w:type="spellStart"/>
      <w:r>
        <w:t>drug-resistant</w:t>
      </w:r>
      <w:proofErr w:type="spellEnd"/>
      <w:r>
        <w:t xml:space="preserve">; XDR) </w:t>
      </w:r>
      <w:proofErr w:type="spellStart"/>
      <w:r>
        <w:t>hvKp</w:t>
      </w:r>
      <w:proofErr w:type="spellEnd"/>
      <w:r>
        <w:t xml:space="preserve"> ST23 </w:t>
      </w:r>
      <w:proofErr w:type="spellStart"/>
      <w:r>
        <w:t>izolātu</w:t>
      </w:r>
      <w:proofErr w:type="spellEnd"/>
      <w:r>
        <w:t xml:space="preserve">. Divdesmit no izpētītajiem 28 </w:t>
      </w:r>
      <w:proofErr w:type="spellStart"/>
      <w:r>
        <w:t>izolātiem</w:t>
      </w:r>
      <w:proofErr w:type="spellEnd"/>
      <w:r>
        <w:t xml:space="preserve"> no Īrijas tika klasificēti kā </w:t>
      </w:r>
      <w:proofErr w:type="spellStart"/>
      <w:r>
        <w:t>multirezistenti</w:t>
      </w:r>
      <w:proofErr w:type="spellEnd"/>
      <w:r>
        <w:t xml:space="preserve"> un 20 no tiem kā XDR. Šie ziņojumi liecina, ka </w:t>
      </w:r>
      <w:proofErr w:type="spellStart"/>
      <w:r>
        <w:t>hvKp</w:t>
      </w:r>
      <w:proofErr w:type="spellEnd"/>
      <w:r>
        <w:t xml:space="preserve"> ST23 infekcijas var kļūt arvien grūtāk ārstējamas.</w:t>
      </w:r>
    </w:p>
    <w:p w14:paraId="325856AA" w14:textId="5B110521" w:rsidR="003D20E1" w:rsidRDefault="00000000" w:rsidP="00627352">
      <w:pPr>
        <w:pStyle w:val="BodyB"/>
        <w:ind w:firstLine="720"/>
        <w:jc w:val="both"/>
      </w:pPr>
      <w:r>
        <w:t xml:space="preserve"> </w:t>
      </w:r>
    </w:p>
    <w:p w14:paraId="0DE2D2CC" w14:textId="7817010C" w:rsidR="003D20E1" w:rsidRPr="003D20E1" w:rsidRDefault="00000000" w:rsidP="003D20E1">
      <w:pPr>
        <w:pStyle w:val="BodyB"/>
        <w:jc w:val="center"/>
        <w:rPr>
          <w:b/>
          <w:bCs/>
        </w:rPr>
      </w:pPr>
      <w:r w:rsidRPr="003D20E1">
        <w:rPr>
          <w:b/>
          <w:bCs/>
        </w:rPr>
        <w:t>Noteikšanas biežums ES/EEZ valstīs</w:t>
      </w:r>
    </w:p>
    <w:p w14:paraId="04B57809" w14:textId="77777777" w:rsidR="00627352" w:rsidRDefault="00000000" w:rsidP="00627352">
      <w:pPr>
        <w:pStyle w:val="BodyB"/>
        <w:ind w:firstLine="720"/>
        <w:jc w:val="both"/>
      </w:pPr>
      <w:r>
        <w:t xml:space="preserve">Kopš iepriekšējā ECDC ātrā riska novērtējuma 2021. gadā ievērojami palielinājās ES/EEZ valstu skaits, kurās konstatēti </w:t>
      </w:r>
      <w:proofErr w:type="spellStart"/>
      <w:r>
        <w:t>hvKp</w:t>
      </w:r>
      <w:proofErr w:type="spellEnd"/>
      <w:r>
        <w:t xml:space="preserve"> ST23 </w:t>
      </w:r>
      <w:proofErr w:type="spellStart"/>
      <w:r>
        <w:t>izolāti</w:t>
      </w:r>
      <w:proofErr w:type="spellEnd"/>
      <w:r>
        <w:t xml:space="preserve">, no 4 līdz 10 valstīm, un šo valstu analīzei iesniegto </w:t>
      </w:r>
      <w:proofErr w:type="spellStart"/>
      <w:r>
        <w:t>izolātu</w:t>
      </w:r>
      <w:proofErr w:type="spellEnd"/>
      <w:r>
        <w:t xml:space="preserve"> skaits pieaudzis no 12 līdz 143 </w:t>
      </w:r>
      <w:proofErr w:type="spellStart"/>
      <w:r>
        <w:t>izolātiem</w:t>
      </w:r>
      <w:proofErr w:type="spellEnd"/>
      <w:r>
        <w:t xml:space="preserve">. Tomēr pieaugošo noteikšanas biežumu daļēji var izskaidrot arī ar palielinātu laboratoriju kapacitāti molekulāro testu veikšanai un palielinātu iespējamību noteikt </w:t>
      </w:r>
      <w:proofErr w:type="spellStart"/>
      <w:r>
        <w:t>hvKp</w:t>
      </w:r>
      <w:proofErr w:type="spellEnd"/>
      <w:r>
        <w:t xml:space="preserve">, kas satur </w:t>
      </w:r>
      <w:proofErr w:type="spellStart"/>
      <w:r>
        <w:t>karbapenemāzes</w:t>
      </w:r>
      <w:proofErr w:type="spellEnd"/>
      <w:r>
        <w:t xml:space="preserve"> gēnus, veicot pacientu </w:t>
      </w:r>
      <w:proofErr w:type="spellStart"/>
      <w:r>
        <w:t>skrīningu</w:t>
      </w:r>
      <w:proofErr w:type="spellEnd"/>
      <w:r>
        <w:t xml:space="preserve"> </w:t>
      </w:r>
      <w:proofErr w:type="spellStart"/>
      <w:r>
        <w:t>karbapenēmu</w:t>
      </w:r>
      <w:proofErr w:type="spellEnd"/>
      <w:r>
        <w:t xml:space="preserve"> </w:t>
      </w:r>
      <w:proofErr w:type="spellStart"/>
      <w:r>
        <w:t>rezistentu</w:t>
      </w:r>
      <w:proofErr w:type="spellEnd"/>
      <w:r>
        <w:t xml:space="preserve"> </w:t>
      </w:r>
      <w:proofErr w:type="spellStart"/>
      <w:r w:rsidRPr="00D63491">
        <w:rPr>
          <w:i/>
          <w:iCs/>
        </w:rPr>
        <w:t>Enterobacterales</w:t>
      </w:r>
      <w:proofErr w:type="spellEnd"/>
      <w:r w:rsidRPr="00D63491">
        <w:rPr>
          <w:i/>
          <w:iCs/>
        </w:rPr>
        <w:t xml:space="preserve"> </w:t>
      </w:r>
      <w:r>
        <w:t xml:space="preserve">(CRE) noteikšanai. </w:t>
      </w:r>
    </w:p>
    <w:p w14:paraId="78AEAE20" w14:textId="40CAA199" w:rsidR="003D20E1" w:rsidRDefault="00000000" w:rsidP="00627352">
      <w:pPr>
        <w:pStyle w:val="BodyB"/>
        <w:ind w:firstLine="720"/>
        <w:jc w:val="both"/>
      </w:pPr>
      <w:r>
        <w:t xml:space="preserve">Joprojām pastāv liela iespējamība, ka </w:t>
      </w:r>
      <w:proofErr w:type="spellStart"/>
      <w:r>
        <w:t>hvKp</w:t>
      </w:r>
      <w:proofErr w:type="spellEnd"/>
      <w:r>
        <w:t xml:space="preserve"> </w:t>
      </w:r>
      <w:proofErr w:type="spellStart"/>
      <w:r>
        <w:t>izolāti</w:t>
      </w:r>
      <w:proofErr w:type="spellEnd"/>
      <w:r>
        <w:t xml:space="preserve"> un infekcijas pašlaik ES/EEZ nav pietiekami atklātas. Tā kā </w:t>
      </w:r>
      <w:proofErr w:type="spellStart"/>
      <w:r>
        <w:t>hipervirulences</w:t>
      </w:r>
      <w:proofErr w:type="spellEnd"/>
      <w:r>
        <w:t xml:space="preserve"> noteikšana nav daļa no ikdienas diagnostiskās mikrobioloģijas, </w:t>
      </w:r>
      <w:proofErr w:type="spellStart"/>
      <w:r>
        <w:t>hvKp</w:t>
      </w:r>
      <w:proofErr w:type="spellEnd"/>
      <w:r>
        <w:t xml:space="preserve"> var palikt nepamanīts, ja vien klīnicistiem nav aizdomas par klīnisko ainu no zinātniskās literatūras aprakstiem, un pēc tam </w:t>
      </w:r>
      <w:proofErr w:type="spellStart"/>
      <w:r>
        <w:t>izolāti</w:t>
      </w:r>
      <w:proofErr w:type="spellEnd"/>
      <w:r>
        <w:t xml:space="preserve"> tiek nosūtīti turpmākai raksturošanai. Daudzi ārsti ES/EEZ valstīs vēl nav </w:t>
      </w:r>
      <w:proofErr w:type="spellStart"/>
      <w:r>
        <w:t>saskārušies</w:t>
      </w:r>
      <w:proofErr w:type="spellEnd"/>
      <w:r>
        <w:t xml:space="preserve"> ar </w:t>
      </w:r>
      <w:proofErr w:type="spellStart"/>
      <w:r>
        <w:t>hvKp</w:t>
      </w:r>
      <w:proofErr w:type="spellEnd"/>
      <w:r>
        <w:t xml:space="preserve"> klīnisko simptomātiku un paplašināto slimības spektru. Turklāt iespējamā klīniskā diagnoze būtu atkarīga no infekcijas tipisko klīnisko pazīmju parādīšanās. Tomēr šī klīniskā aina var atšķirties neaizsargātiem pacientiem veselības aprūpes iestādēs, kas, iespējams, apgrūtina ar veselības aprūpi saistītas </w:t>
      </w:r>
      <w:proofErr w:type="spellStart"/>
      <w:r>
        <w:t>hvKp</w:t>
      </w:r>
      <w:proofErr w:type="spellEnd"/>
      <w:r>
        <w:t xml:space="preserve"> infekcijas klīnisko diagnostiku. </w:t>
      </w:r>
      <w:proofErr w:type="spellStart"/>
      <w:r>
        <w:t>Fenotipiskas</w:t>
      </w:r>
      <w:proofErr w:type="spellEnd"/>
      <w:r>
        <w:t xml:space="preserve"> metodes testiem (piemēram, </w:t>
      </w:r>
      <w:proofErr w:type="spellStart"/>
      <w:r>
        <w:t>string</w:t>
      </w:r>
      <w:proofErr w:type="spellEnd"/>
      <w:r>
        <w:t xml:space="preserve"> tests </w:t>
      </w:r>
      <w:proofErr w:type="spellStart"/>
      <w:r>
        <w:t>hiper-mukoviskozitātes</w:t>
      </w:r>
      <w:proofErr w:type="spellEnd"/>
      <w:r>
        <w:t xml:space="preserve"> noteikšanai).  ir zema jutība, un </w:t>
      </w:r>
      <w:proofErr w:type="spellStart"/>
      <w:r>
        <w:t>virulences</w:t>
      </w:r>
      <w:proofErr w:type="spellEnd"/>
      <w:r>
        <w:t xml:space="preserve"> gēnu identificēšanai būtu nepieciešama molekulārā pārbaude. Lai gan daudzas laboratorijas spēj molekulāri identificēt visbiežāk sastopamos </w:t>
      </w:r>
      <w:proofErr w:type="spellStart"/>
      <w:r>
        <w:t>karbapenēma</w:t>
      </w:r>
      <w:proofErr w:type="spellEnd"/>
      <w:r>
        <w:t xml:space="preserve"> rezistences gēnus ar iekšējiem vai komerciāliem molekulāriem testiem, </w:t>
      </w:r>
      <w:proofErr w:type="spellStart"/>
      <w:r>
        <w:t>virulences</w:t>
      </w:r>
      <w:proofErr w:type="spellEnd"/>
      <w:r>
        <w:t xml:space="preserve"> gēnu identificēšana pašlaik nav daļa no standarta diagnostikas. Paaugstināta </w:t>
      </w:r>
      <w:proofErr w:type="spellStart"/>
      <w:r>
        <w:t>karbapenēma</w:t>
      </w:r>
      <w:proofErr w:type="spellEnd"/>
      <w:r>
        <w:t xml:space="preserve"> rezistence </w:t>
      </w:r>
      <w:proofErr w:type="spellStart"/>
      <w:r>
        <w:t>hvKp</w:t>
      </w:r>
      <w:proofErr w:type="spellEnd"/>
      <w:r>
        <w:t xml:space="preserve"> var izraisīt biežāku </w:t>
      </w:r>
      <w:proofErr w:type="spellStart"/>
      <w:r>
        <w:t>hvKp</w:t>
      </w:r>
      <w:proofErr w:type="spellEnd"/>
      <w:r>
        <w:t xml:space="preserve"> </w:t>
      </w:r>
      <w:proofErr w:type="spellStart"/>
      <w:r>
        <w:t>izolātu</w:t>
      </w:r>
      <w:proofErr w:type="spellEnd"/>
      <w:r>
        <w:t xml:space="preserve"> identificēšanu, kas atklāti ar pacientu </w:t>
      </w:r>
      <w:proofErr w:type="spellStart"/>
      <w:r>
        <w:t>skrīninga</w:t>
      </w:r>
      <w:proofErr w:type="spellEnd"/>
      <w:r>
        <w:t xml:space="preserve"> procedūrām, kas vērstas uz CRE transmisijas noteikšanu. Tomēr </w:t>
      </w:r>
      <w:proofErr w:type="spellStart"/>
      <w:r>
        <w:t>hipervirulence</w:t>
      </w:r>
      <w:proofErr w:type="spellEnd"/>
      <w:r>
        <w:t xml:space="preserve"> joprojām tiktu atklāta tikai tad, ja </w:t>
      </w:r>
      <w:proofErr w:type="spellStart"/>
      <w:r>
        <w:t>virulences</w:t>
      </w:r>
      <w:proofErr w:type="spellEnd"/>
      <w:r>
        <w:t xml:space="preserve"> gēnu, piemēram, </w:t>
      </w:r>
      <w:proofErr w:type="spellStart"/>
      <w:r>
        <w:t>jersiniabaktīna</w:t>
      </w:r>
      <w:proofErr w:type="spellEnd"/>
      <w:r>
        <w:t xml:space="preserve">, </w:t>
      </w:r>
      <w:proofErr w:type="spellStart"/>
      <w:r>
        <w:t>kolibaktīna</w:t>
      </w:r>
      <w:proofErr w:type="spellEnd"/>
      <w:r>
        <w:t xml:space="preserve"> un </w:t>
      </w:r>
      <w:proofErr w:type="spellStart"/>
      <w:r>
        <w:t>aerobaktīna</w:t>
      </w:r>
      <w:proofErr w:type="spellEnd"/>
      <w:r>
        <w:t xml:space="preserve"> kodējošo gēnu, PCR </w:t>
      </w:r>
      <w:proofErr w:type="spellStart"/>
      <w:r>
        <w:t>skrīningam</w:t>
      </w:r>
      <w:proofErr w:type="spellEnd"/>
      <w:r>
        <w:t xml:space="preserve"> seko pozitīvo </w:t>
      </w:r>
      <w:proofErr w:type="spellStart"/>
      <w:r>
        <w:t>izolātu</w:t>
      </w:r>
      <w:proofErr w:type="spellEnd"/>
      <w:r>
        <w:t xml:space="preserve"> pilna genoma </w:t>
      </w:r>
      <w:proofErr w:type="spellStart"/>
      <w:r>
        <w:t>sekvenēšana</w:t>
      </w:r>
      <w:proofErr w:type="spellEnd"/>
      <w:r>
        <w:t xml:space="preserve"> (</w:t>
      </w:r>
      <w:proofErr w:type="spellStart"/>
      <w:r>
        <w:t>whole-genome</w:t>
      </w:r>
      <w:proofErr w:type="spellEnd"/>
      <w:r>
        <w:t xml:space="preserve"> </w:t>
      </w:r>
      <w:proofErr w:type="spellStart"/>
      <w:r>
        <w:t>sequencing</w:t>
      </w:r>
      <w:proofErr w:type="spellEnd"/>
      <w:r>
        <w:t xml:space="preserve">; WGS) vai, ja valstī ir augsts WGS pārklājums pret </w:t>
      </w:r>
      <w:proofErr w:type="spellStart"/>
      <w:r>
        <w:t>karbapenēmu</w:t>
      </w:r>
      <w:proofErr w:type="spellEnd"/>
      <w:r>
        <w:t xml:space="preserve"> </w:t>
      </w:r>
      <w:proofErr w:type="spellStart"/>
      <w:r>
        <w:t>rezistentu</w:t>
      </w:r>
      <w:proofErr w:type="spellEnd"/>
      <w:r>
        <w:t xml:space="preserve"> </w:t>
      </w:r>
      <w:r w:rsidRPr="0020502F">
        <w:rPr>
          <w:i/>
          <w:iCs/>
        </w:rPr>
        <w:t xml:space="preserve">K. </w:t>
      </w:r>
      <w:proofErr w:type="spellStart"/>
      <w:r w:rsidRPr="0020502F">
        <w:rPr>
          <w:i/>
          <w:iCs/>
        </w:rPr>
        <w:t>pneumoniae</w:t>
      </w:r>
      <w:proofErr w:type="spellEnd"/>
      <w:r>
        <w:t xml:space="preserve"> ar sistemātisku </w:t>
      </w:r>
      <w:proofErr w:type="spellStart"/>
      <w:r>
        <w:t>virulences</w:t>
      </w:r>
      <w:proofErr w:type="spellEnd"/>
      <w:r>
        <w:t xml:space="preserve"> gēnu analīzi vai turpmāku ST izmeklēšanu, kas saistītas ar </w:t>
      </w:r>
      <w:proofErr w:type="spellStart"/>
      <w:r>
        <w:t>hipervirulenci</w:t>
      </w:r>
      <w:proofErr w:type="spellEnd"/>
      <w:r>
        <w:t xml:space="preserve">, piemēram, ST23. </w:t>
      </w:r>
    </w:p>
    <w:p w14:paraId="57E3318A" w14:textId="203CD817" w:rsidR="003D20E1" w:rsidRPr="003D20E1" w:rsidRDefault="00000000" w:rsidP="003D20E1">
      <w:pPr>
        <w:pStyle w:val="BodyB"/>
        <w:jc w:val="center"/>
        <w:rPr>
          <w:b/>
          <w:bCs/>
          <w:sz w:val="28"/>
          <w:szCs w:val="28"/>
        </w:rPr>
      </w:pPr>
      <w:r w:rsidRPr="003D20E1">
        <w:rPr>
          <w:b/>
          <w:bCs/>
          <w:sz w:val="28"/>
          <w:szCs w:val="28"/>
        </w:rPr>
        <w:t xml:space="preserve">Iespējamie </w:t>
      </w:r>
      <w:r w:rsidR="0020502F">
        <w:rPr>
          <w:b/>
          <w:bCs/>
          <w:sz w:val="28"/>
          <w:szCs w:val="28"/>
        </w:rPr>
        <w:t>izplatīšanās</w:t>
      </w:r>
      <w:r w:rsidRPr="003D20E1">
        <w:rPr>
          <w:b/>
          <w:bCs/>
          <w:sz w:val="28"/>
          <w:szCs w:val="28"/>
        </w:rPr>
        <w:t xml:space="preserve"> </w:t>
      </w:r>
      <w:r w:rsidR="0020502F">
        <w:rPr>
          <w:b/>
          <w:bCs/>
          <w:sz w:val="28"/>
          <w:szCs w:val="28"/>
        </w:rPr>
        <w:t>veidi</w:t>
      </w:r>
    </w:p>
    <w:p w14:paraId="01FBE6B4" w14:textId="09BAB56C" w:rsidR="003D20E1" w:rsidRPr="003D20E1" w:rsidRDefault="00000000" w:rsidP="003D20E1">
      <w:pPr>
        <w:pStyle w:val="BodyB"/>
        <w:jc w:val="center"/>
        <w:rPr>
          <w:b/>
          <w:bCs/>
        </w:rPr>
      </w:pPr>
      <w:r w:rsidRPr="003D20E1">
        <w:rPr>
          <w:b/>
          <w:bCs/>
        </w:rPr>
        <w:t>Izplatīšanās sabiedrībā</w:t>
      </w:r>
    </w:p>
    <w:p w14:paraId="09AA93A3" w14:textId="77777777" w:rsidR="00627352" w:rsidRDefault="00000000" w:rsidP="00627352">
      <w:pPr>
        <w:pStyle w:val="BodyB"/>
        <w:ind w:firstLine="720"/>
        <w:jc w:val="both"/>
      </w:pPr>
      <w:r>
        <w:t>Lai gan “klasisko” (</w:t>
      </w:r>
      <w:proofErr w:type="spellStart"/>
      <w:r>
        <w:t>nehipervirulento</w:t>
      </w:r>
      <w:proofErr w:type="spellEnd"/>
      <w:r>
        <w:t xml:space="preserve">) pret </w:t>
      </w:r>
      <w:proofErr w:type="spellStart"/>
      <w:r>
        <w:t>karbapenēmu</w:t>
      </w:r>
      <w:proofErr w:type="spellEnd"/>
      <w:r>
        <w:t xml:space="preserve"> </w:t>
      </w:r>
      <w:proofErr w:type="spellStart"/>
      <w:r>
        <w:t>rezistentu</w:t>
      </w:r>
      <w:proofErr w:type="spellEnd"/>
      <w:r>
        <w:t xml:space="preserve"> </w:t>
      </w:r>
      <w:r w:rsidRPr="0020502F">
        <w:rPr>
          <w:i/>
          <w:iCs/>
        </w:rPr>
        <w:t xml:space="preserve">K. </w:t>
      </w:r>
      <w:proofErr w:type="spellStart"/>
      <w:r w:rsidRPr="0020502F">
        <w:rPr>
          <w:i/>
          <w:iCs/>
        </w:rPr>
        <w:t>pneumoniae</w:t>
      </w:r>
      <w:proofErr w:type="spellEnd"/>
      <w:r>
        <w:t xml:space="preserve"> celmu pārnešanu lielā mērā veicina izplatība veselības aprūpes iestādēs, </w:t>
      </w:r>
      <w:proofErr w:type="spellStart"/>
      <w:r>
        <w:t>hvKp</w:t>
      </w:r>
      <w:proofErr w:type="spellEnd"/>
      <w:r>
        <w:t xml:space="preserve"> ST23 sākotnēji tika aprakstīts galvenokārt kā ar sabiedrību saistītu infekciju izraisītājs. Pamatojoties uz </w:t>
      </w:r>
      <w:proofErr w:type="spellStart"/>
      <w:r w:rsidRPr="0020502F">
        <w:rPr>
          <w:i/>
          <w:iCs/>
        </w:rPr>
        <w:t>Enterobacterales</w:t>
      </w:r>
      <w:proofErr w:type="spellEnd"/>
      <w:r>
        <w:t xml:space="preserve"> izplatības ceļiem kopumā, </w:t>
      </w:r>
      <w:proofErr w:type="spellStart"/>
      <w:r>
        <w:t>hvKp</w:t>
      </w:r>
      <w:proofErr w:type="spellEnd"/>
      <w:r>
        <w:t xml:space="preserve"> iegūšana varētu notikt ar piesārņotu pārtiku vai ūdeni, pārnešanu no cilvēka uz cilvēku ciešos kontaktos, piemēram, ģimenes locekļiem, kā arī ar dzīvnieku starpniecību. Kopumā </w:t>
      </w:r>
      <w:proofErr w:type="spellStart"/>
      <w:r>
        <w:t>hvKp</w:t>
      </w:r>
      <w:proofErr w:type="spellEnd"/>
      <w:r>
        <w:t xml:space="preserve"> kolonizē veselu indivīdu zarnas un var izplatīties tālāk </w:t>
      </w:r>
      <w:proofErr w:type="spellStart"/>
      <w:r>
        <w:t>fekāli</w:t>
      </w:r>
      <w:proofErr w:type="spellEnd"/>
      <w:r>
        <w:t xml:space="preserve">-orālā ceļā. Ķīnā ir aprakstīts pārtikas parauga (gurķa) piesārņojums ar </w:t>
      </w:r>
      <w:proofErr w:type="spellStart"/>
      <w:r>
        <w:t>hvKp</w:t>
      </w:r>
      <w:proofErr w:type="spellEnd"/>
      <w:r>
        <w:t xml:space="preserve"> ST23, kas satur blaKPC-2 gēnu. Dažos Āzijas apgabalos iedzīvotāju vidū ir liela </w:t>
      </w:r>
      <w:proofErr w:type="spellStart"/>
      <w:r>
        <w:t>hvKp</w:t>
      </w:r>
      <w:proofErr w:type="spellEnd"/>
      <w:r>
        <w:t xml:space="preserve"> izplatība un ir liela pārnešanas iespējamība, ja nav pieejami atbilstoši higiēnas standarti. Tomēr ir maz ticams, ka pārnešanas iespējamību ES/EEZ kopienā var secināt no piemēriem no citiem ģeogrāfiskiem apgabaliem ar atšķirīgiem klimatiskajiem, vides un dzīves apstākļiem. </w:t>
      </w:r>
    </w:p>
    <w:p w14:paraId="1EEF3CCC" w14:textId="6FEE915B" w:rsidR="003D20E1" w:rsidRDefault="00000000" w:rsidP="00627352">
      <w:pPr>
        <w:pStyle w:val="BodyB"/>
        <w:ind w:firstLine="720"/>
        <w:jc w:val="both"/>
      </w:pPr>
      <w:r>
        <w:t xml:space="preserve">Tā kā </w:t>
      </w:r>
      <w:proofErr w:type="spellStart"/>
      <w:r>
        <w:t>hvKp</w:t>
      </w:r>
      <w:proofErr w:type="spellEnd"/>
      <w:r>
        <w:t xml:space="preserve"> var atrast arī vidē, tas var ietekmēt izplatību kopējā populācijā un līdz ar to arī turpmākās pārnešanas risku sabiedrībā; tomēr precīza vides faktoru loma pašlaik nav zināma. Vairumā gadījumu tiešais cilvēka inficēšanās avots ar </w:t>
      </w:r>
      <w:proofErr w:type="spellStart"/>
      <w:r>
        <w:t>hvKp</w:t>
      </w:r>
      <w:proofErr w:type="spellEnd"/>
      <w:r>
        <w:t xml:space="preserve">, iespējams, ir paša </w:t>
      </w:r>
      <w:r>
        <w:lastRenderedPageBreak/>
        <w:t xml:space="preserve">pacienta zarnu flora, kas norāda uz iepriekšēju bezsimptomu nēsāšanu (kolonizācija. Sabiedrībā </w:t>
      </w:r>
      <w:proofErr w:type="spellStart"/>
      <w:r w:rsidRPr="60C09880">
        <w:rPr>
          <w:i/>
          <w:iCs/>
        </w:rPr>
        <w:t>Enterobacterales</w:t>
      </w:r>
      <w:proofErr w:type="spellEnd"/>
      <w:r>
        <w:t xml:space="preserve">, tostarp pret </w:t>
      </w:r>
      <w:proofErr w:type="spellStart"/>
      <w:r>
        <w:t>multirezistentu</w:t>
      </w:r>
      <w:proofErr w:type="spellEnd"/>
      <w:r>
        <w:t xml:space="preserve"> un </w:t>
      </w:r>
      <w:proofErr w:type="spellStart"/>
      <w:r>
        <w:t>hipervirulentu</w:t>
      </w:r>
      <w:proofErr w:type="spellEnd"/>
      <w:r>
        <w:t xml:space="preserve"> </w:t>
      </w:r>
      <w:r w:rsidRPr="60C09880">
        <w:rPr>
          <w:i/>
          <w:iCs/>
        </w:rPr>
        <w:t xml:space="preserve">K. </w:t>
      </w:r>
      <w:proofErr w:type="spellStart"/>
      <w:r w:rsidRPr="60C09880">
        <w:rPr>
          <w:i/>
          <w:iCs/>
        </w:rPr>
        <w:t>pneumoniae</w:t>
      </w:r>
      <w:proofErr w:type="spellEnd"/>
      <w:r>
        <w:t xml:space="preserve">, pārnešana un iegūšana vairumā gadījumu var izraisīt klusu pārejošu vai pastāvīgu zarnu kolonizāciju, kad tikai nelielai daļai gadījumu tiek iegūta infekcija ar klīnisku izpausmi. Infekcijas attīstības biežums pašlaik nav skaidrs. Pētījumā, kurā tika novērtēta </w:t>
      </w:r>
      <w:r w:rsidRPr="60C09880">
        <w:rPr>
          <w:i/>
          <w:iCs/>
        </w:rPr>
        <w:t xml:space="preserve">K. </w:t>
      </w:r>
      <w:proofErr w:type="spellStart"/>
      <w:r w:rsidRPr="60C09880">
        <w:rPr>
          <w:i/>
          <w:iCs/>
        </w:rPr>
        <w:t>pneumoniae</w:t>
      </w:r>
      <w:proofErr w:type="spellEnd"/>
      <w:r>
        <w:t xml:space="preserve"> nēsāšana 2 975 personām Norvēģijā 2015.–2016. gadā, tikai vienai personai konstatēta  </w:t>
      </w:r>
      <w:proofErr w:type="spellStart"/>
      <w:r>
        <w:t>hvKp</w:t>
      </w:r>
      <w:proofErr w:type="spellEnd"/>
      <w:r>
        <w:t xml:space="preserve"> ST23 nēsāšana. Tā kā nav veikti turpmāki pētījumi par </w:t>
      </w:r>
      <w:proofErr w:type="spellStart"/>
      <w:r>
        <w:t>hvKp</w:t>
      </w:r>
      <w:proofErr w:type="spellEnd"/>
      <w:r>
        <w:t xml:space="preserve"> nēsāšanu arī citās ES/EEZ valstīs un pēdējos gados, nav iespējams novērtēt, cik lielā mērā </w:t>
      </w:r>
      <w:proofErr w:type="spellStart"/>
      <w:r>
        <w:t>hvKp</w:t>
      </w:r>
      <w:proofErr w:type="spellEnd"/>
      <w:r>
        <w:t xml:space="preserve"> ir sastopams ES/EEZ iedzīvotāju vidū. </w:t>
      </w:r>
      <w:proofErr w:type="spellStart"/>
      <w:r>
        <w:t>HvKp</w:t>
      </w:r>
      <w:proofErr w:type="spellEnd"/>
      <w:r>
        <w:t xml:space="preserve"> noteikšana sabiedrībā ir sarežģīta, jo nepieciešama molekulārā pārbaude, lai nodrošinātu uzticamu identifikāciju. Praksē gadījumu atklāšana sabiedrībā lielākoties ir atkarīga no tipiskas sabiedrībā iegūtās </w:t>
      </w:r>
      <w:proofErr w:type="spellStart"/>
      <w:r>
        <w:t>hvKp</w:t>
      </w:r>
      <w:proofErr w:type="spellEnd"/>
      <w:r>
        <w:t xml:space="preserve"> infekcijas klīnisko pazīmju atpazīšanas, kad pacients vēršas veselības aprūpē.</w:t>
      </w:r>
    </w:p>
    <w:p w14:paraId="17E66767" w14:textId="77777777" w:rsidR="00627352" w:rsidRDefault="00627352" w:rsidP="00627352">
      <w:pPr>
        <w:pStyle w:val="BodyB"/>
        <w:ind w:firstLine="720"/>
        <w:jc w:val="both"/>
      </w:pPr>
    </w:p>
    <w:p w14:paraId="1571BFB1" w14:textId="176374EF" w:rsidR="003D20E1" w:rsidRPr="003D20E1" w:rsidRDefault="00000000" w:rsidP="003D20E1">
      <w:pPr>
        <w:pStyle w:val="BodyB"/>
        <w:jc w:val="center"/>
        <w:rPr>
          <w:b/>
          <w:bCs/>
        </w:rPr>
      </w:pPr>
      <w:r w:rsidRPr="003D20E1">
        <w:rPr>
          <w:b/>
          <w:bCs/>
        </w:rPr>
        <w:t>Izplatīšanās veselības aprūpes iestādēs</w:t>
      </w:r>
    </w:p>
    <w:p w14:paraId="4B46F15B" w14:textId="77777777" w:rsidR="00627352" w:rsidRDefault="00000000" w:rsidP="00627352">
      <w:pPr>
        <w:pStyle w:val="BodyB"/>
        <w:ind w:firstLine="720"/>
        <w:jc w:val="both"/>
      </w:pPr>
      <w:r>
        <w:t xml:space="preserve">Visticamāk, pāreja no sabiedrībā iegūtām infekcijām uz ar veselības aprūpi saistītām infekcijām jau ir notikusi apgabalos, kur </w:t>
      </w:r>
      <w:proofErr w:type="spellStart"/>
      <w:r>
        <w:t>hvKp</w:t>
      </w:r>
      <w:proofErr w:type="spellEnd"/>
      <w:r>
        <w:t xml:space="preserve"> ir endēmisks, piemēram, Āzijā. Ziņojums no Ķīnas norāda, ka </w:t>
      </w:r>
      <w:proofErr w:type="spellStart"/>
      <w:r>
        <w:t>hvKp</w:t>
      </w:r>
      <w:proofErr w:type="spellEnd"/>
      <w:r>
        <w:t xml:space="preserve"> celmi, iespējams, ir sākuši aizstāt citus </w:t>
      </w:r>
      <w:proofErr w:type="spellStart"/>
      <w:r>
        <w:t>nehipervirulentus</w:t>
      </w:r>
      <w:proofErr w:type="spellEnd"/>
      <w:r>
        <w:t xml:space="preserve"> </w:t>
      </w:r>
      <w:r w:rsidRPr="60C09880">
        <w:rPr>
          <w:i/>
          <w:iCs/>
        </w:rPr>
        <w:t xml:space="preserve">K. </w:t>
      </w:r>
      <w:proofErr w:type="spellStart"/>
      <w:r w:rsidRPr="60C09880">
        <w:rPr>
          <w:i/>
          <w:iCs/>
        </w:rPr>
        <w:t>pneumoniae</w:t>
      </w:r>
      <w:proofErr w:type="spellEnd"/>
      <w:r>
        <w:t xml:space="preserve"> celmus veselības aprūpes iestādēs. Tas, kā arī dažādi uzliesmojumi, par kuriem ziņots no Ķīnas, Irānas un Krievijas, norāda, ka </w:t>
      </w:r>
      <w:proofErr w:type="spellStart"/>
      <w:r>
        <w:t>karbapenemāzi</w:t>
      </w:r>
      <w:proofErr w:type="spellEnd"/>
      <w:r>
        <w:t xml:space="preserve"> reproducējoša </w:t>
      </w:r>
      <w:proofErr w:type="spellStart"/>
      <w:r>
        <w:t>hvKp</w:t>
      </w:r>
      <w:proofErr w:type="spellEnd"/>
      <w:r>
        <w:t xml:space="preserve"> spēj nostiprināties kā ar veselības aprūpi saistīts patogēns līdzīgi kā “klasiskie” (ne-</w:t>
      </w:r>
      <w:proofErr w:type="spellStart"/>
      <w:r>
        <w:t>hipervirulentie</w:t>
      </w:r>
      <w:proofErr w:type="spellEnd"/>
      <w:r>
        <w:t xml:space="preserve">) pret </w:t>
      </w:r>
      <w:proofErr w:type="spellStart"/>
      <w:r>
        <w:t>karbapenēmiem</w:t>
      </w:r>
      <w:proofErr w:type="spellEnd"/>
      <w:r>
        <w:t xml:space="preserve"> </w:t>
      </w:r>
      <w:proofErr w:type="spellStart"/>
      <w:r>
        <w:t>rezistenti</w:t>
      </w:r>
      <w:proofErr w:type="spellEnd"/>
      <w:r>
        <w:t xml:space="preserve"> </w:t>
      </w:r>
      <w:r w:rsidRPr="60C09880">
        <w:rPr>
          <w:i/>
          <w:iCs/>
        </w:rPr>
        <w:t xml:space="preserve">K. </w:t>
      </w:r>
      <w:proofErr w:type="spellStart"/>
      <w:r w:rsidRPr="60C09880">
        <w:rPr>
          <w:i/>
          <w:iCs/>
        </w:rPr>
        <w:t>pneumoniae</w:t>
      </w:r>
      <w:proofErr w:type="spellEnd"/>
      <w:r>
        <w:t xml:space="preserve"> kloni, kas jau izplatās veselības aprūpes iestādēs daudzās ES/EEZ valstīs. Lai gan “klasiskām” pret </w:t>
      </w:r>
      <w:proofErr w:type="spellStart"/>
      <w:r>
        <w:t>multirezistentām</w:t>
      </w:r>
      <w:proofErr w:type="spellEnd"/>
      <w:r>
        <w:t xml:space="preserve"> (tostarp pret </w:t>
      </w:r>
      <w:proofErr w:type="spellStart"/>
      <w:r>
        <w:t>karbapenēmu</w:t>
      </w:r>
      <w:proofErr w:type="spellEnd"/>
      <w:r>
        <w:t xml:space="preserve"> </w:t>
      </w:r>
      <w:proofErr w:type="spellStart"/>
      <w:r>
        <w:t>rezistentām</w:t>
      </w:r>
      <w:proofErr w:type="spellEnd"/>
      <w:r>
        <w:t xml:space="preserve">) </w:t>
      </w:r>
      <w:r w:rsidRPr="60C09880">
        <w:rPr>
          <w:i/>
          <w:iCs/>
        </w:rPr>
        <w:t xml:space="preserve">K. </w:t>
      </w:r>
      <w:proofErr w:type="spellStart"/>
      <w:r w:rsidRPr="60C09880">
        <w:rPr>
          <w:i/>
          <w:iCs/>
        </w:rPr>
        <w:t>pneumoniae</w:t>
      </w:r>
      <w:proofErr w:type="spellEnd"/>
      <w:r>
        <w:t xml:space="preserve"> infekcijām parastie riska faktori ir intensīvā aprūpe, kritiskas slimības un </w:t>
      </w:r>
      <w:proofErr w:type="spellStart"/>
      <w:r>
        <w:t>invazīvas</w:t>
      </w:r>
      <w:proofErr w:type="spellEnd"/>
      <w:r>
        <w:t xml:space="preserve"> ierīces, pacientu populācija, kas pakļauta </w:t>
      </w:r>
      <w:proofErr w:type="spellStart"/>
      <w:r>
        <w:t>hvKp</w:t>
      </w:r>
      <w:proofErr w:type="spellEnd"/>
      <w:r>
        <w:t xml:space="preserve"> infekciju riskam, būs daudz lielāka nekā šīs labi zināmās augsta riska grupas. Turklāt </w:t>
      </w:r>
      <w:proofErr w:type="spellStart"/>
      <w:r>
        <w:t>virulences</w:t>
      </w:r>
      <w:proofErr w:type="spellEnd"/>
      <w:r>
        <w:t xml:space="preserve"> gēnus tagad iegūst arī “klasiskie” augsta riska </w:t>
      </w:r>
      <w:r w:rsidRPr="60C09880">
        <w:rPr>
          <w:i/>
          <w:iCs/>
        </w:rPr>
        <w:t xml:space="preserve">K. </w:t>
      </w:r>
      <w:proofErr w:type="spellStart"/>
      <w:r w:rsidRPr="60C09880">
        <w:rPr>
          <w:i/>
          <w:iCs/>
        </w:rPr>
        <w:t>pneumoniae</w:t>
      </w:r>
      <w:proofErr w:type="spellEnd"/>
      <w:r>
        <w:t xml:space="preserve"> kloni, kas, kā zināms, efektīvi tiek pārnēsāti veselības aprūpes iestādēs. </w:t>
      </w:r>
    </w:p>
    <w:p w14:paraId="5DF20DCE" w14:textId="7BA60AB8" w:rsidR="003D20E1" w:rsidRDefault="00000000" w:rsidP="00627352">
      <w:pPr>
        <w:pStyle w:val="BodyB"/>
        <w:ind w:firstLine="720"/>
        <w:jc w:val="both"/>
      </w:pPr>
      <w:r>
        <w:t xml:space="preserve">Spēcīgākie pierādījumi par infekcijas pārnešanu saistībā ar veselības aprūpi ES/EEZ ir iegūti Īrijā, kur ir atklāts 74 </w:t>
      </w:r>
      <w:proofErr w:type="spellStart"/>
      <w:r>
        <w:t>izolātu</w:t>
      </w:r>
      <w:proofErr w:type="spellEnd"/>
      <w:r>
        <w:t xml:space="preserve"> kopums, no kuriem lielākā daļa satur </w:t>
      </w:r>
      <w:proofErr w:type="spellStart"/>
      <w:r>
        <w:t>karbapenamāzi</w:t>
      </w:r>
      <w:proofErr w:type="spellEnd"/>
      <w:r>
        <w:t xml:space="preserve">, un paraugu ņemšanas datumi aptver piecus gadus. Turpmākā izmeklēšana 28 no šiem </w:t>
      </w:r>
      <w:proofErr w:type="spellStart"/>
      <w:r>
        <w:t>izolātiem</w:t>
      </w:r>
      <w:proofErr w:type="spellEnd"/>
      <w:r>
        <w:t xml:space="preserve"> apstiprināja </w:t>
      </w:r>
      <w:proofErr w:type="spellStart"/>
      <w:r>
        <w:t>hvKp</w:t>
      </w:r>
      <w:proofErr w:type="spellEnd"/>
      <w:r>
        <w:t xml:space="preserve"> ST23-K1 pārnešanu Īrijas veselības aprūpes iestāžu tīklā, turklāt visiem šiem gadījumiem nesen bijusi hospitalizācija vai uzturēšanās ilgstošas ​​aprūpes iestādē. </w:t>
      </w:r>
      <w:proofErr w:type="spellStart"/>
      <w:r>
        <w:t>HvKp</w:t>
      </w:r>
      <w:proofErr w:type="spellEnd"/>
      <w:r>
        <w:t xml:space="preserve"> ST23-K1 </w:t>
      </w:r>
      <w:proofErr w:type="spellStart"/>
      <w:r>
        <w:t>izolātu</w:t>
      </w:r>
      <w:proofErr w:type="spellEnd"/>
      <w:r>
        <w:t xml:space="preserve"> klasteri tika konstatēti arī Francijā, Latvijā un Lietuvā, lai gan ar epidemioloģiskiem datiem to kopējā saikne netika apstiprināta. </w:t>
      </w:r>
      <w:proofErr w:type="spellStart"/>
      <w:r>
        <w:t>HvKp</w:t>
      </w:r>
      <w:proofErr w:type="spellEnd"/>
      <w:r>
        <w:t xml:space="preserve"> ST23-K1 </w:t>
      </w:r>
      <w:proofErr w:type="spellStart"/>
      <w:r>
        <w:t>izolāts</w:t>
      </w:r>
      <w:proofErr w:type="spellEnd"/>
      <w:r>
        <w:t xml:space="preserve"> tika aprakstīts kā daļa no septiņu </w:t>
      </w:r>
      <w:proofErr w:type="spellStart"/>
      <w:r>
        <w:t>izolātu</w:t>
      </w:r>
      <w:proofErr w:type="spellEnd"/>
      <w:r>
        <w:t xml:space="preserve"> kopas Vācijā. </w:t>
      </w:r>
    </w:p>
    <w:p w14:paraId="08FF3AB6" w14:textId="77777777" w:rsidR="00627352" w:rsidRDefault="00627352" w:rsidP="00627352">
      <w:pPr>
        <w:pStyle w:val="BodyB"/>
        <w:ind w:firstLine="720"/>
        <w:jc w:val="both"/>
      </w:pPr>
    </w:p>
    <w:p w14:paraId="2561B8F4" w14:textId="516128B4" w:rsidR="003D20E1" w:rsidRPr="003D20E1" w:rsidRDefault="00000000" w:rsidP="003D20E1">
      <w:pPr>
        <w:pStyle w:val="BodyB"/>
        <w:jc w:val="center"/>
        <w:rPr>
          <w:b/>
          <w:bCs/>
        </w:rPr>
      </w:pPr>
      <w:r w:rsidRPr="003D20E1">
        <w:rPr>
          <w:b/>
          <w:bCs/>
        </w:rPr>
        <w:t>Turpmākās izplatības riski</w:t>
      </w:r>
    </w:p>
    <w:p w14:paraId="4C2E73CE" w14:textId="77777777" w:rsidR="00627352" w:rsidRDefault="00000000" w:rsidP="00627352">
      <w:pPr>
        <w:pStyle w:val="BodyB"/>
        <w:ind w:firstLine="720"/>
        <w:jc w:val="both"/>
      </w:pPr>
      <w:r>
        <w:t xml:space="preserve">Kopš pēdējā ECDC ātrā riska novērtējuma 2021. gadā to ES/EEZ valstu skaits, kuras ziņo par </w:t>
      </w:r>
      <w:proofErr w:type="spellStart"/>
      <w:r>
        <w:t>hvKp</w:t>
      </w:r>
      <w:proofErr w:type="spellEnd"/>
      <w:r>
        <w:t xml:space="preserve"> ST23 gadījumiem, ir pieaudzis no četrām līdz desmit valstīm, un šo valstu analīzei iesniegto </w:t>
      </w:r>
      <w:proofErr w:type="spellStart"/>
      <w:r>
        <w:t>izolātu</w:t>
      </w:r>
      <w:proofErr w:type="spellEnd"/>
      <w:r>
        <w:t xml:space="preserve"> skaits ir palielinājies no 12 līdz 143 </w:t>
      </w:r>
      <w:proofErr w:type="spellStart"/>
      <w:r>
        <w:t>izolātiem</w:t>
      </w:r>
      <w:proofErr w:type="spellEnd"/>
      <w:r>
        <w:t xml:space="preserve">. Ir palielinājies arī </w:t>
      </w:r>
      <w:proofErr w:type="spellStart"/>
      <w:r>
        <w:t>hvKp</w:t>
      </w:r>
      <w:proofErr w:type="spellEnd"/>
      <w:r>
        <w:t xml:space="preserve"> ST23-K1 </w:t>
      </w:r>
      <w:proofErr w:type="spellStart"/>
      <w:r>
        <w:t>izolātos</w:t>
      </w:r>
      <w:proofErr w:type="spellEnd"/>
      <w:r>
        <w:t xml:space="preserve"> ES/EEZ konstatēto </w:t>
      </w:r>
      <w:proofErr w:type="spellStart"/>
      <w:r>
        <w:t>karbapenemāzes</w:t>
      </w:r>
      <w:proofErr w:type="spellEnd"/>
      <w:r>
        <w:t xml:space="preserve"> gēnu spektrs, atklājot </w:t>
      </w:r>
      <w:proofErr w:type="spellStart"/>
      <w:r>
        <w:t>izolātus</w:t>
      </w:r>
      <w:proofErr w:type="spellEnd"/>
      <w:r>
        <w:t xml:space="preserve">, kas satur blaNDM-1, blaKPC-2 un blaOXA-181 </w:t>
      </w:r>
      <w:proofErr w:type="spellStart"/>
      <w:r>
        <w:t>karbapenemāzes</w:t>
      </w:r>
      <w:proofErr w:type="spellEnd"/>
      <w:r>
        <w:t xml:space="preserve"> gēnus papildu </w:t>
      </w:r>
      <w:proofErr w:type="spellStart"/>
      <w:r>
        <w:t>izolātiem</w:t>
      </w:r>
      <w:proofErr w:type="spellEnd"/>
      <w:r>
        <w:t xml:space="preserve">, kas satur blaOXA-48 un blaVIM-1, kas jau aprakstīts iepriekšējā ECDC ātrajā riska novērtējumā. Turklāt tagad ir pierādījumi par dominējošās </w:t>
      </w:r>
      <w:proofErr w:type="spellStart"/>
      <w:r>
        <w:t>hvKp</w:t>
      </w:r>
      <w:proofErr w:type="spellEnd"/>
      <w:r>
        <w:t xml:space="preserve"> ST23-K1 līnijas ilgstošu izplatību starp veselības aprūpes iestādēm Īrijā piecu gadu laikā, neskatoties uz pastiprinātiem kontroles centieniem. </w:t>
      </w:r>
      <w:proofErr w:type="spellStart"/>
      <w:r>
        <w:t>HvKp</w:t>
      </w:r>
      <w:proofErr w:type="spellEnd"/>
      <w:r>
        <w:t xml:space="preserve"> ST23 </w:t>
      </w:r>
      <w:proofErr w:type="spellStart"/>
      <w:r>
        <w:t>izolātu</w:t>
      </w:r>
      <w:proofErr w:type="spellEnd"/>
      <w:r>
        <w:t xml:space="preserve"> klasteri, kas norāda uz iespējamu pārnešanu valsts iekšienē, tika konstatētas arī Francijā, Latvijā un Lietuvā; tomēr līdz šim epidemioloģiskie dati nav apstiprinājuši, ka tie, visticamāk, ir saistīti ar cirkulāciju un pārnešanu valstī. Līdzīga </w:t>
      </w:r>
      <w:proofErr w:type="spellStart"/>
      <w:r>
        <w:t>hvKp</w:t>
      </w:r>
      <w:proofErr w:type="spellEnd"/>
      <w:r>
        <w:t xml:space="preserve"> izplatība varētu būt arī citu ES/EEZ valstu veselības aprūpes iestādēs un starp tām, kur ir mazāk attīstīta uzraudzības sistēma. </w:t>
      </w:r>
    </w:p>
    <w:p w14:paraId="2D1D733D" w14:textId="77777777" w:rsidR="00627352" w:rsidRDefault="00000000" w:rsidP="00627352">
      <w:pPr>
        <w:pStyle w:val="BodyB"/>
        <w:ind w:firstLine="720"/>
        <w:jc w:val="both"/>
      </w:pPr>
      <w:r>
        <w:lastRenderedPageBreak/>
        <w:t xml:space="preserve">Pastāv liela varbūtība, ka </w:t>
      </w:r>
      <w:proofErr w:type="spellStart"/>
      <w:r>
        <w:t>hvKp</w:t>
      </w:r>
      <w:proofErr w:type="spellEnd"/>
      <w:r>
        <w:t xml:space="preserve"> var izplatīties tālāk ES/EEZ valstu veselības aprūpes iestādēs, līdzīgi kā “klasiskā” (ne-</w:t>
      </w:r>
      <w:proofErr w:type="spellStart"/>
      <w:r>
        <w:t>hipervirulentā</w:t>
      </w:r>
      <w:proofErr w:type="spellEnd"/>
      <w:r>
        <w:t xml:space="preserve">) </w:t>
      </w:r>
      <w:proofErr w:type="spellStart"/>
      <w:r>
        <w:t>karbapenemāzi</w:t>
      </w:r>
      <w:proofErr w:type="spellEnd"/>
      <w:r>
        <w:t xml:space="preserve"> producējoša </w:t>
      </w:r>
      <w:r w:rsidRPr="0020502F">
        <w:rPr>
          <w:i/>
          <w:iCs/>
        </w:rPr>
        <w:t xml:space="preserve">K. </w:t>
      </w:r>
      <w:proofErr w:type="spellStart"/>
      <w:r w:rsidRPr="0020502F">
        <w:rPr>
          <w:i/>
          <w:iCs/>
        </w:rPr>
        <w:t>pneumoniae</w:t>
      </w:r>
      <w:proofErr w:type="spellEnd"/>
      <w:r>
        <w:t xml:space="preserve"> un citu </w:t>
      </w:r>
      <w:proofErr w:type="spellStart"/>
      <w:r>
        <w:t>karbapenēmu</w:t>
      </w:r>
      <w:proofErr w:type="spellEnd"/>
      <w:r>
        <w:t xml:space="preserve"> </w:t>
      </w:r>
      <w:proofErr w:type="spellStart"/>
      <w:r>
        <w:t>rezistentu</w:t>
      </w:r>
      <w:proofErr w:type="spellEnd"/>
      <w:r>
        <w:t xml:space="preserve"> </w:t>
      </w:r>
      <w:proofErr w:type="spellStart"/>
      <w:r w:rsidRPr="00D63491">
        <w:rPr>
          <w:i/>
          <w:iCs/>
        </w:rPr>
        <w:t>Enterobacterales</w:t>
      </w:r>
      <w:proofErr w:type="spellEnd"/>
      <w:r w:rsidRPr="00D63491">
        <w:rPr>
          <w:i/>
          <w:iCs/>
        </w:rPr>
        <w:t xml:space="preserve"> </w:t>
      </w:r>
      <w:r>
        <w:t xml:space="preserve">izplatība, kas ātri izplatījās iekšienē un starp veselības aprūpes iestādēm ES/EEZ pēdējos gados. Turklāt ir pierādīts, ka “klasiskā” </w:t>
      </w:r>
      <w:r w:rsidRPr="0020502F">
        <w:rPr>
          <w:i/>
          <w:iCs/>
        </w:rPr>
        <w:t xml:space="preserve">K. </w:t>
      </w:r>
      <w:proofErr w:type="spellStart"/>
      <w:r w:rsidRPr="0020502F">
        <w:rPr>
          <w:i/>
          <w:iCs/>
        </w:rPr>
        <w:t>pneumoniae</w:t>
      </w:r>
      <w:proofErr w:type="spellEnd"/>
      <w:r>
        <w:t xml:space="preserve"> arī iegūst </w:t>
      </w:r>
      <w:proofErr w:type="spellStart"/>
      <w:r>
        <w:t>hipervirulenci</w:t>
      </w:r>
      <w:proofErr w:type="spellEnd"/>
      <w:r>
        <w:t xml:space="preserve">. Kā aprakstīts iepriekš, </w:t>
      </w:r>
      <w:proofErr w:type="spellStart"/>
      <w:r>
        <w:t>hvKp</w:t>
      </w:r>
      <w:proofErr w:type="spellEnd"/>
      <w:r>
        <w:t xml:space="preserve"> izplatībai varētu būt liela ietekme uz veselību (saslimstība, mirstība) ES/EEZ pacientu populācijā. </w:t>
      </w:r>
      <w:proofErr w:type="spellStart"/>
      <w:r>
        <w:t>HvKp</w:t>
      </w:r>
      <w:proofErr w:type="spellEnd"/>
      <w:r>
        <w:t xml:space="preserve"> nesošo </w:t>
      </w:r>
      <w:proofErr w:type="spellStart"/>
      <w:r>
        <w:t>karbapenemāzes</w:t>
      </w:r>
      <w:proofErr w:type="spellEnd"/>
      <w:r>
        <w:t xml:space="preserve"> gēnu turpmākas izplatīšanas un izveidošanās iespējamība veselības aprūpes iestādēs ES/EEZ valstīs ar sekojošu būtisku ietekmi uz saslimstību un mirstību tiek uzskatīta par augstu, pamatojoties uz pierādījumiem par ilgstošu </w:t>
      </w:r>
      <w:proofErr w:type="spellStart"/>
      <w:r>
        <w:t>hvKp</w:t>
      </w:r>
      <w:proofErr w:type="spellEnd"/>
      <w:r>
        <w:t xml:space="preserve"> ST23-K1 līnijas </w:t>
      </w:r>
      <w:proofErr w:type="spellStart"/>
      <w:r>
        <w:t>karbapenemāzes</w:t>
      </w:r>
      <w:proofErr w:type="spellEnd"/>
      <w:r>
        <w:t xml:space="preserve"> gēnu pārnēsāšanu veselības aprūpes iestādēs ES/EEZ. </w:t>
      </w:r>
    </w:p>
    <w:p w14:paraId="7ABB3B67" w14:textId="5DDAB6FC" w:rsidR="003D20E1" w:rsidRDefault="00000000" w:rsidP="00627352">
      <w:pPr>
        <w:pStyle w:val="BodyB"/>
        <w:ind w:firstLine="720"/>
        <w:jc w:val="both"/>
      </w:pPr>
      <w:r>
        <w:t xml:space="preserve">Grūtības ar </w:t>
      </w:r>
      <w:proofErr w:type="spellStart"/>
      <w:r>
        <w:t>hvKp</w:t>
      </w:r>
      <w:proofErr w:type="spellEnd"/>
      <w:r>
        <w:t xml:space="preserve"> noteikšanu un apstiprināšanu laboratorijā var izraisīt tās izplatību sabiedrībā un veselības aprūpes iestādēs. Pagaidām nav pierādījumu par ilgstošu </w:t>
      </w:r>
      <w:proofErr w:type="spellStart"/>
      <w:r>
        <w:t>hvKp</w:t>
      </w:r>
      <w:proofErr w:type="spellEnd"/>
      <w:r>
        <w:t xml:space="preserve"> ST23-K1 izplatīšanos sabiedrībā ES/EEZ; tomēr tas var būt tikai izpratnes trūkuma un nepietiekamas noteikšanas dēļ. CCRE (</w:t>
      </w:r>
      <w:proofErr w:type="spellStart"/>
      <w:r>
        <w:t>survey</w:t>
      </w:r>
      <w:proofErr w:type="spellEnd"/>
      <w:r>
        <w:t xml:space="preserve"> </w:t>
      </w:r>
      <w:proofErr w:type="spellStart"/>
      <w:r>
        <w:t>of</w:t>
      </w:r>
      <w:proofErr w:type="spellEnd"/>
      <w:r>
        <w:t xml:space="preserve"> </w:t>
      </w:r>
      <w:proofErr w:type="spellStart"/>
      <w:r>
        <w:t>carbapenem</w:t>
      </w:r>
      <w:proofErr w:type="spellEnd"/>
      <w:r>
        <w:t xml:space="preserve">- </w:t>
      </w:r>
      <w:proofErr w:type="spellStart"/>
      <w:r>
        <w:t>and</w:t>
      </w:r>
      <w:proofErr w:type="spellEnd"/>
      <w:r>
        <w:t>/</w:t>
      </w:r>
      <w:proofErr w:type="spellStart"/>
      <w:r>
        <w:t>or</w:t>
      </w:r>
      <w:proofErr w:type="spellEnd"/>
      <w:r>
        <w:t xml:space="preserve"> </w:t>
      </w:r>
      <w:proofErr w:type="spellStart"/>
      <w:r>
        <w:t>colistin-resistant</w:t>
      </w:r>
      <w:proofErr w:type="spellEnd"/>
      <w:r>
        <w:t xml:space="preserve"> </w:t>
      </w:r>
      <w:proofErr w:type="spellStart"/>
      <w:r w:rsidRPr="60C09880">
        <w:rPr>
          <w:i/>
          <w:iCs/>
        </w:rPr>
        <w:t>Enterobacterales</w:t>
      </w:r>
      <w:proofErr w:type="spellEnd"/>
      <w:r>
        <w:t xml:space="preserve">) pētījumā tika atklāti 19 </w:t>
      </w:r>
      <w:proofErr w:type="spellStart"/>
      <w:r>
        <w:t>hvKp</w:t>
      </w:r>
      <w:proofErr w:type="spellEnd"/>
      <w:r>
        <w:t xml:space="preserve"> ST23 </w:t>
      </w:r>
      <w:proofErr w:type="spellStart"/>
      <w:r>
        <w:t>izolāti</w:t>
      </w:r>
      <w:proofErr w:type="spellEnd"/>
      <w:r>
        <w:t xml:space="preserve"> 11 valstīs, no kuriem 16 bija daļa no pret </w:t>
      </w:r>
      <w:proofErr w:type="spellStart"/>
      <w:r>
        <w:t>karbapenēmu</w:t>
      </w:r>
      <w:proofErr w:type="spellEnd"/>
      <w:r>
        <w:t xml:space="preserve"> jutīgās salīdzināmās grupas, tādējādi norādot, ka arī pret </w:t>
      </w:r>
      <w:proofErr w:type="spellStart"/>
      <w:r>
        <w:t>karbapenēmu</w:t>
      </w:r>
      <w:proofErr w:type="spellEnd"/>
      <w:r>
        <w:t xml:space="preserve"> jutīgajam </w:t>
      </w:r>
      <w:proofErr w:type="spellStart"/>
      <w:r>
        <w:t>hvKp</w:t>
      </w:r>
      <w:proofErr w:type="spellEnd"/>
      <w:r>
        <w:t xml:space="preserve"> ST23 ir plašāka izplatība un tā ir biežāka nekā ziņots. Lai gan </w:t>
      </w:r>
      <w:proofErr w:type="spellStart"/>
      <w:r>
        <w:t>hvKp</w:t>
      </w:r>
      <w:proofErr w:type="spellEnd"/>
      <w:r>
        <w:t xml:space="preserve"> izplatīšanās risks kopienā pašlaik tiek uzskatīts par mērenu, joprojām pastāv iespēja turpmākai ievešanai, kas var izraisīt ilgstošu izplatību sabiedrībā.</w:t>
      </w:r>
    </w:p>
    <w:p w14:paraId="006509F6" w14:textId="77777777" w:rsidR="00627352" w:rsidRDefault="00627352" w:rsidP="00627352">
      <w:pPr>
        <w:pStyle w:val="BodyB"/>
        <w:ind w:firstLine="720"/>
        <w:jc w:val="both"/>
      </w:pPr>
    </w:p>
    <w:p w14:paraId="49E7E70F" w14:textId="57794D50" w:rsidR="003D20E1" w:rsidRPr="003D20E1" w:rsidRDefault="00000000" w:rsidP="003D20E1">
      <w:pPr>
        <w:pStyle w:val="BodyB"/>
        <w:jc w:val="center"/>
        <w:rPr>
          <w:b/>
          <w:bCs/>
          <w:sz w:val="28"/>
          <w:szCs w:val="28"/>
        </w:rPr>
      </w:pPr>
      <w:r w:rsidRPr="003D20E1">
        <w:rPr>
          <w:b/>
          <w:bCs/>
          <w:sz w:val="28"/>
          <w:szCs w:val="28"/>
        </w:rPr>
        <w:t>Reaģēšanas pasākumi</w:t>
      </w:r>
    </w:p>
    <w:p w14:paraId="6097F4B4" w14:textId="058E9DB3" w:rsidR="003D20E1" w:rsidRPr="003D20E1" w:rsidRDefault="00000000" w:rsidP="003D20E1">
      <w:pPr>
        <w:pStyle w:val="BodyB"/>
        <w:jc w:val="center"/>
        <w:rPr>
          <w:b/>
          <w:bCs/>
        </w:rPr>
      </w:pPr>
      <w:r w:rsidRPr="003D20E1">
        <w:rPr>
          <w:b/>
          <w:bCs/>
        </w:rPr>
        <w:t>Klīniskās zināšanas</w:t>
      </w:r>
    </w:p>
    <w:p w14:paraId="4F7BF6DF" w14:textId="4E43B0D5" w:rsidR="003D20E1" w:rsidRDefault="00000000" w:rsidP="003D20E1">
      <w:pPr>
        <w:pStyle w:val="BodyB"/>
        <w:ind w:firstLine="720"/>
        <w:jc w:val="both"/>
      </w:pPr>
      <w:r>
        <w:t xml:space="preserve">Kontroles pasākumu īstenošana ir atkarīga no agrīnas un pārliecinošas </w:t>
      </w:r>
      <w:proofErr w:type="spellStart"/>
      <w:r>
        <w:t>hvKp</w:t>
      </w:r>
      <w:proofErr w:type="spellEnd"/>
      <w:r>
        <w:t xml:space="preserve"> identificēšanas klīniskajos apstākļos un valsts uzraudzības sistēmas. Tāpēc visā ES/EEZ ir jāpalielina izpratne par klīnisko un sabiedrības veselību, kā arī jāpalielina laboratorijas kapacitāte </w:t>
      </w:r>
      <w:proofErr w:type="spellStart"/>
      <w:r>
        <w:t>hvKp</w:t>
      </w:r>
      <w:proofErr w:type="spellEnd"/>
      <w:r>
        <w:t xml:space="preserve"> noteikšanai. Tā kā paplašinātais </w:t>
      </w:r>
      <w:proofErr w:type="spellStart"/>
      <w:r>
        <w:t>hvKp</w:t>
      </w:r>
      <w:proofErr w:type="spellEnd"/>
      <w:r>
        <w:t xml:space="preserve"> infekciju slimību spektrs līdz šim ES/EEZ valstīs ir reti sastopams, ir ieteicams palielināt arī klīnicistu un diagnostikas laboratoriju dienestu informētību par aizdomām par </w:t>
      </w:r>
      <w:proofErr w:type="spellStart"/>
      <w:r>
        <w:t>hvKp</w:t>
      </w:r>
      <w:proofErr w:type="spellEnd"/>
      <w:r>
        <w:t xml:space="preserve"> infekcijām, pamatojoties uz (a) tipisku sabiedrībā iegūto </w:t>
      </w:r>
      <w:proofErr w:type="spellStart"/>
      <w:r>
        <w:t>hvKp</w:t>
      </w:r>
      <w:proofErr w:type="spellEnd"/>
      <w:r>
        <w:t xml:space="preserve"> infekcijas klīnisko ainu, (b) neparasto </w:t>
      </w:r>
      <w:proofErr w:type="spellStart"/>
      <w:r>
        <w:t>metastātisko</w:t>
      </w:r>
      <w:proofErr w:type="spellEnd"/>
      <w:r>
        <w:t xml:space="preserve"> </w:t>
      </w:r>
      <w:r w:rsidRPr="60C09880">
        <w:rPr>
          <w:i/>
          <w:iCs/>
        </w:rPr>
        <w:t xml:space="preserve">K. </w:t>
      </w:r>
      <w:proofErr w:type="spellStart"/>
      <w:r w:rsidRPr="60C09880">
        <w:rPr>
          <w:i/>
          <w:iCs/>
        </w:rPr>
        <w:t>pneumoniae</w:t>
      </w:r>
      <w:proofErr w:type="spellEnd"/>
      <w:r>
        <w:t xml:space="preserve"> infekcijas izplatību vai (c) ar veselības aprūpi saistīto </w:t>
      </w:r>
      <w:r w:rsidRPr="60C09880">
        <w:rPr>
          <w:i/>
          <w:iCs/>
        </w:rPr>
        <w:t xml:space="preserve">K. </w:t>
      </w:r>
      <w:proofErr w:type="spellStart"/>
      <w:r w:rsidRPr="60C09880">
        <w:rPr>
          <w:i/>
          <w:iCs/>
        </w:rPr>
        <w:t>pneumoniae</w:t>
      </w:r>
      <w:proofErr w:type="spellEnd"/>
      <w:r>
        <w:t xml:space="preserve"> infekciju klasteriem ar paaugstinātu smaguma pakāpi un mirstību. Klīnicistu savlaicīga saziņa ar laboratorijas personālu, lai pieprasītu veikt </w:t>
      </w:r>
      <w:proofErr w:type="spellStart"/>
      <w:r>
        <w:t>virulences</w:t>
      </w:r>
      <w:proofErr w:type="spellEnd"/>
      <w:r>
        <w:t xml:space="preserve"> gēnu pārbaudi </w:t>
      </w:r>
      <w:r w:rsidRPr="60C09880">
        <w:rPr>
          <w:i/>
          <w:iCs/>
        </w:rPr>
        <w:t xml:space="preserve">K. </w:t>
      </w:r>
      <w:proofErr w:type="spellStart"/>
      <w:r w:rsidRPr="60C09880">
        <w:rPr>
          <w:i/>
          <w:iCs/>
        </w:rPr>
        <w:t>pneumoniae</w:t>
      </w:r>
      <w:proofErr w:type="spellEnd"/>
      <w:r>
        <w:t xml:space="preserve"> infekcijas gadījumā ar paaugstinātas </w:t>
      </w:r>
      <w:proofErr w:type="spellStart"/>
      <w:r>
        <w:t>virulences</w:t>
      </w:r>
      <w:proofErr w:type="spellEnd"/>
      <w:r>
        <w:t xml:space="preserve"> un </w:t>
      </w:r>
      <w:proofErr w:type="spellStart"/>
      <w:r>
        <w:t>pretmikrobu</w:t>
      </w:r>
      <w:proofErr w:type="spellEnd"/>
      <w:r>
        <w:t xml:space="preserve"> rezistences pazīmēm, ir ļoti svarīga. Tomēr diagnostikā un klīnisko lēmumu pieņemšanas gaitā, papildu </w:t>
      </w:r>
      <w:proofErr w:type="spellStart"/>
      <w:r>
        <w:t>antimikrobiālas</w:t>
      </w:r>
      <w:proofErr w:type="spellEnd"/>
      <w:r>
        <w:t xml:space="preserve"> rezistences izpētei, būtu jāiekļauj arī citas potenciāli tikpat bīstamas baktēriju īpašības, piemēram, paaugstināta </w:t>
      </w:r>
      <w:proofErr w:type="spellStart"/>
      <w:r>
        <w:t>virulence</w:t>
      </w:r>
      <w:proofErr w:type="spellEnd"/>
      <w:r>
        <w:t xml:space="preserve">. </w:t>
      </w:r>
    </w:p>
    <w:p w14:paraId="73E1C209" w14:textId="77777777" w:rsidR="00627352" w:rsidRDefault="00627352" w:rsidP="003D20E1">
      <w:pPr>
        <w:pStyle w:val="BodyB"/>
        <w:ind w:firstLine="720"/>
        <w:jc w:val="both"/>
      </w:pPr>
    </w:p>
    <w:p w14:paraId="31FEDD79" w14:textId="55C26C70" w:rsidR="003D20E1" w:rsidRPr="003D20E1" w:rsidRDefault="00000000" w:rsidP="003D20E1">
      <w:pPr>
        <w:pStyle w:val="BodyB"/>
        <w:jc w:val="center"/>
        <w:rPr>
          <w:b/>
          <w:bCs/>
        </w:rPr>
      </w:pPr>
      <w:r w:rsidRPr="003D20E1">
        <w:rPr>
          <w:b/>
          <w:bCs/>
        </w:rPr>
        <w:t>Laboratoriju kapacitāte un uzraudzība</w:t>
      </w:r>
    </w:p>
    <w:p w14:paraId="3BEB750D" w14:textId="77777777" w:rsidR="00627352" w:rsidRDefault="00000000" w:rsidP="00627352">
      <w:pPr>
        <w:pStyle w:val="BodyB"/>
        <w:ind w:firstLine="720"/>
        <w:jc w:val="both"/>
      </w:pPr>
      <w:r>
        <w:t xml:space="preserve">Uzticamai </w:t>
      </w:r>
      <w:proofErr w:type="spellStart"/>
      <w:r>
        <w:t>hvKp</w:t>
      </w:r>
      <w:proofErr w:type="spellEnd"/>
      <w:r>
        <w:t xml:space="preserve"> identificēšanai pašlaik ir nepieciešama </w:t>
      </w:r>
      <w:proofErr w:type="spellStart"/>
      <w:r>
        <w:t>izolātu</w:t>
      </w:r>
      <w:proofErr w:type="spellEnd"/>
      <w:r>
        <w:t xml:space="preserve"> molekulārā pārbaude. Tāpēc katrai nacionālās references laboratorijai (NRL) ir nepieciešams attīstīt spēju papildu rezistences gēniem noteikt un analizēt attiecīgos </w:t>
      </w:r>
      <w:proofErr w:type="spellStart"/>
      <w:r>
        <w:t>virulences</w:t>
      </w:r>
      <w:proofErr w:type="spellEnd"/>
      <w:r>
        <w:t xml:space="preserve"> gēnus. Uz PCR balstīta </w:t>
      </w:r>
      <w:r w:rsidRPr="60C09880">
        <w:rPr>
          <w:i/>
          <w:iCs/>
        </w:rPr>
        <w:t xml:space="preserve">K. </w:t>
      </w:r>
      <w:proofErr w:type="spellStart"/>
      <w:r w:rsidRPr="60C09880">
        <w:rPr>
          <w:i/>
          <w:iCs/>
        </w:rPr>
        <w:t>pneumoniae</w:t>
      </w:r>
      <w:proofErr w:type="spellEnd"/>
      <w:r>
        <w:t xml:space="preserve"> </w:t>
      </w:r>
      <w:proofErr w:type="spellStart"/>
      <w:r>
        <w:t>izolātu</w:t>
      </w:r>
      <w:proofErr w:type="spellEnd"/>
      <w:r>
        <w:t xml:space="preserve"> </w:t>
      </w:r>
      <w:proofErr w:type="spellStart"/>
      <w:r>
        <w:t>virulences</w:t>
      </w:r>
      <w:proofErr w:type="spellEnd"/>
      <w:r>
        <w:t xml:space="preserve"> gēnu pārbaude un sistemātiska </w:t>
      </w:r>
      <w:proofErr w:type="spellStart"/>
      <w:r>
        <w:t>hvKp</w:t>
      </w:r>
      <w:proofErr w:type="spellEnd"/>
      <w:r>
        <w:t xml:space="preserve"> </w:t>
      </w:r>
      <w:proofErr w:type="spellStart"/>
      <w:r>
        <w:t>izolātu</w:t>
      </w:r>
      <w:proofErr w:type="spellEnd"/>
      <w:r>
        <w:t xml:space="preserve"> vākšana NRL uzlabotu izpratni par izplatības apmēru valstī, kā arī sniegtu datus novērtējumam ES/EEZ līmenī. NRL ir vajadzīgas jaudas un resursi izvēlētu </w:t>
      </w:r>
      <w:r w:rsidRPr="60C09880">
        <w:rPr>
          <w:i/>
          <w:iCs/>
        </w:rPr>
        <w:t xml:space="preserve">K. </w:t>
      </w:r>
      <w:proofErr w:type="spellStart"/>
      <w:r w:rsidRPr="60C09880">
        <w:rPr>
          <w:i/>
          <w:iCs/>
        </w:rPr>
        <w:t>pneumoniae</w:t>
      </w:r>
      <w:proofErr w:type="spellEnd"/>
      <w:r>
        <w:t xml:space="preserve"> </w:t>
      </w:r>
      <w:proofErr w:type="spellStart"/>
      <w:r>
        <w:t>izolātu</w:t>
      </w:r>
      <w:proofErr w:type="spellEnd"/>
      <w:r>
        <w:t xml:space="preserve"> ikdienas WGS veikšanai rezistences gēnu un </w:t>
      </w:r>
      <w:proofErr w:type="spellStart"/>
      <w:r>
        <w:t>virulences</w:t>
      </w:r>
      <w:proofErr w:type="spellEnd"/>
      <w:r>
        <w:t xml:space="preserve"> gēnu uzliesmojuma noteikšanai un uzraudzībai, kā arī spēja atbalstīt uzliesmojumu epidemioloģisko izmeklēšanu. </w:t>
      </w:r>
    </w:p>
    <w:p w14:paraId="52F64159" w14:textId="77777777" w:rsidR="00627352" w:rsidRDefault="00000000" w:rsidP="00627352">
      <w:pPr>
        <w:pStyle w:val="BodyB"/>
        <w:ind w:firstLine="720"/>
        <w:jc w:val="both"/>
      </w:pPr>
      <w:r>
        <w:t xml:space="preserve">Īrijas pieredze liecina, ka, pasīvi gaidot pieaugošu </w:t>
      </w:r>
      <w:r w:rsidRPr="60C09880">
        <w:rPr>
          <w:i/>
          <w:iCs/>
        </w:rPr>
        <w:t xml:space="preserve">K. </w:t>
      </w:r>
      <w:proofErr w:type="spellStart"/>
      <w:r w:rsidRPr="60C09880">
        <w:rPr>
          <w:i/>
          <w:iCs/>
        </w:rPr>
        <w:t>pneumoniae</w:t>
      </w:r>
      <w:proofErr w:type="spellEnd"/>
      <w:r>
        <w:t xml:space="preserve"> izraisīto smago infekciju skaitu, var tikt nokavēts laiks efektīvai </w:t>
      </w:r>
      <w:proofErr w:type="spellStart"/>
      <w:r>
        <w:t>hvKp</w:t>
      </w:r>
      <w:proofErr w:type="spellEnd"/>
      <w:r>
        <w:t xml:space="preserve"> izplatības agrīnai kontrolei. Lai gan Īrijā pēc signāla par diviem asins kultūras </w:t>
      </w:r>
      <w:proofErr w:type="spellStart"/>
      <w:r>
        <w:t>izolātiem</w:t>
      </w:r>
      <w:proofErr w:type="spellEnd"/>
      <w:r>
        <w:t xml:space="preserve"> tika īstenoti turpmāki molekulāri un epidemioloģiski pētījumi, </w:t>
      </w:r>
      <w:proofErr w:type="spellStart"/>
      <w:r>
        <w:t>hvKp</w:t>
      </w:r>
      <w:proofErr w:type="spellEnd"/>
      <w:r>
        <w:t xml:space="preserve"> ST23 tajā brīdī jau bija izplatījies visā veselības aprūpes iestāžu tīklā. Tāpat kā citi augsta riska </w:t>
      </w:r>
      <w:r w:rsidRPr="60C09880">
        <w:rPr>
          <w:i/>
          <w:iCs/>
        </w:rPr>
        <w:t xml:space="preserve">K. </w:t>
      </w:r>
      <w:proofErr w:type="spellStart"/>
      <w:r w:rsidRPr="60C09880">
        <w:rPr>
          <w:i/>
          <w:iCs/>
        </w:rPr>
        <w:t>pneumoniae</w:t>
      </w:r>
      <w:proofErr w:type="spellEnd"/>
      <w:r>
        <w:t xml:space="preserve"> kloni veselības aprūpes iestādēs, </w:t>
      </w:r>
      <w:proofErr w:type="spellStart"/>
      <w:r>
        <w:t>hvKp</w:t>
      </w:r>
      <w:proofErr w:type="spellEnd"/>
      <w:r>
        <w:t xml:space="preserve"> </w:t>
      </w:r>
      <w:r>
        <w:lastRenderedPageBreak/>
        <w:t xml:space="preserve">ST23 galvenokārt izplatās ar nēsātāju starpniecību, kas nav simptomātiski. Tāpēc ES/EEZ valstis tiek mudinātas regulāri pārbaudīt </w:t>
      </w:r>
      <w:r w:rsidRPr="60C09880">
        <w:rPr>
          <w:i/>
          <w:iCs/>
        </w:rPr>
        <w:t xml:space="preserve">K. </w:t>
      </w:r>
      <w:proofErr w:type="spellStart"/>
      <w:r w:rsidRPr="60C09880">
        <w:rPr>
          <w:i/>
          <w:iCs/>
        </w:rPr>
        <w:t>pneumoniae</w:t>
      </w:r>
      <w:proofErr w:type="spellEnd"/>
      <w:r>
        <w:t xml:space="preserve"> </w:t>
      </w:r>
      <w:proofErr w:type="spellStart"/>
      <w:r>
        <w:t>izolātus</w:t>
      </w:r>
      <w:proofErr w:type="spellEnd"/>
      <w:r>
        <w:t xml:space="preserve">, jo īpaši tos, kas iegūti no asinsrites infekcijām, lai noteiktu </w:t>
      </w:r>
      <w:proofErr w:type="spellStart"/>
      <w:r>
        <w:t>virulences</w:t>
      </w:r>
      <w:proofErr w:type="spellEnd"/>
      <w:r>
        <w:t xml:space="preserve"> gēnu klātbūtni, un ieviest uz WGS balstītu </w:t>
      </w:r>
      <w:r w:rsidRPr="60C09880">
        <w:rPr>
          <w:i/>
          <w:iCs/>
        </w:rPr>
        <w:t xml:space="preserve">K. </w:t>
      </w:r>
      <w:proofErr w:type="spellStart"/>
      <w:r w:rsidRPr="60C09880">
        <w:rPr>
          <w:i/>
          <w:iCs/>
        </w:rPr>
        <w:t>pneumoniae</w:t>
      </w:r>
      <w:proofErr w:type="spellEnd"/>
      <w:r>
        <w:t xml:space="preserve"> uzraudzību, lai agrīni identificētu </w:t>
      </w:r>
      <w:proofErr w:type="spellStart"/>
      <w:r>
        <w:t>hvKp</w:t>
      </w:r>
      <w:proofErr w:type="spellEnd"/>
      <w:r>
        <w:t xml:space="preserve"> ST23 ievešanu veselības aprūpē sistēma. </w:t>
      </w:r>
    </w:p>
    <w:p w14:paraId="479B7690" w14:textId="4C35D410" w:rsidR="003D20E1" w:rsidRDefault="00000000" w:rsidP="00627352">
      <w:pPr>
        <w:pStyle w:val="BodyB"/>
        <w:ind w:firstLine="720"/>
        <w:jc w:val="both"/>
      </w:pPr>
      <w:r>
        <w:t xml:space="preserve">Vairumā ES/EEZ klīnisko laboratoriju parasti lieto </w:t>
      </w:r>
      <w:proofErr w:type="spellStart"/>
      <w:r>
        <w:t>karbapenēma</w:t>
      </w:r>
      <w:proofErr w:type="spellEnd"/>
      <w:r>
        <w:t xml:space="preserve"> jutīguma testēšanu (</w:t>
      </w:r>
      <w:proofErr w:type="spellStart"/>
      <w:r w:rsidRPr="00F8531D">
        <w:rPr>
          <w:i/>
          <w:iCs/>
        </w:rPr>
        <w:t>antimicrobial</w:t>
      </w:r>
      <w:proofErr w:type="spellEnd"/>
      <w:r w:rsidRPr="00F8531D">
        <w:rPr>
          <w:i/>
          <w:iCs/>
        </w:rPr>
        <w:t xml:space="preserve"> </w:t>
      </w:r>
      <w:proofErr w:type="spellStart"/>
      <w:r w:rsidRPr="00F8531D">
        <w:rPr>
          <w:i/>
          <w:iCs/>
        </w:rPr>
        <w:t>susceptibility</w:t>
      </w:r>
      <w:proofErr w:type="spellEnd"/>
      <w:r w:rsidRPr="00F8531D">
        <w:rPr>
          <w:i/>
          <w:iCs/>
        </w:rPr>
        <w:t xml:space="preserve"> </w:t>
      </w:r>
      <w:proofErr w:type="spellStart"/>
      <w:r w:rsidRPr="00F8531D">
        <w:rPr>
          <w:i/>
          <w:iCs/>
        </w:rPr>
        <w:t>testing</w:t>
      </w:r>
      <w:proofErr w:type="spellEnd"/>
      <w:r w:rsidRPr="00F8531D">
        <w:rPr>
          <w:i/>
          <w:iCs/>
        </w:rPr>
        <w:t>,</w:t>
      </w:r>
      <w:r>
        <w:t xml:space="preserve"> AST) </w:t>
      </w:r>
      <w:proofErr w:type="spellStart"/>
      <w:r w:rsidRPr="60C09880">
        <w:rPr>
          <w:i/>
          <w:iCs/>
        </w:rPr>
        <w:t>Enterobacterales</w:t>
      </w:r>
      <w:proofErr w:type="spellEnd"/>
      <w:r>
        <w:t xml:space="preserve">, ko bieži papildina ar rezistences gēnu noteikšanu. Atkarībā no biežuma, ar kādu </w:t>
      </w:r>
      <w:proofErr w:type="spellStart"/>
      <w:r>
        <w:t>hvKp</w:t>
      </w:r>
      <w:proofErr w:type="spellEnd"/>
      <w:r>
        <w:t xml:space="preserve"> </w:t>
      </w:r>
      <w:proofErr w:type="spellStart"/>
      <w:r>
        <w:t>izolāti</w:t>
      </w:r>
      <w:proofErr w:type="spellEnd"/>
      <w:r>
        <w:t xml:space="preserve"> tiek atklāti valsts līmenī, var būt arī vajadzība palielināt kapacitāti klīniskās mikrobioloģijas laboratorijās, lai noteiktu ar </w:t>
      </w:r>
      <w:proofErr w:type="spellStart"/>
      <w:r>
        <w:t>hipervirulenci</w:t>
      </w:r>
      <w:proofErr w:type="spellEnd"/>
      <w:r>
        <w:t xml:space="preserve"> saistītus </w:t>
      </w:r>
      <w:proofErr w:type="spellStart"/>
      <w:r>
        <w:t>virulences</w:t>
      </w:r>
      <w:proofErr w:type="spellEnd"/>
      <w:r>
        <w:t xml:space="preserve"> gēnus. Tas varētu sniegt vērtīgu informāciju pacientu ar </w:t>
      </w:r>
      <w:proofErr w:type="spellStart"/>
      <w:r>
        <w:t>hvKp</w:t>
      </w:r>
      <w:proofErr w:type="spellEnd"/>
      <w:r>
        <w:t xml:space="preserve"> infekcijām klīniskai vadībai. Šim nolūkam būtu jāizstrādā efektīvas metodes un stratēģijas </w:t>
      </w:r>
      <w:proofErr w:type="spellStart"/>
      <w:r>
        <w:t>virulences</w:t>
      </w:r>
      <w:proofErr w:type="spellEnd"/>
      <w:r>
        <w:t xml:space="preserve"> gēnu </w:t>
      </w:r>
      <w:proofErr w:type="spellStart"/>
      <w:r>
        <w:t>skrīningam</w:t>
      </w:r>
      <w:proofErr w:type="spellEnd"/>
      <w:r>
        <w:t xml:space="preserve"> ikdienas diagnostikas laboratorijā. Ja ir pierādījumi par </w:t>
      </w:r>
      <w:proofErr w:type="spellStart"/>
      <w:r>
        <w:t>hvKp</w:t>
      </w:r>
      <w:proofErr w:type="spellEnd"/>
      <w:r>
        <w:t xml:space="preserve"> izplatību valstī, uzraudzības sistēmās papildu rezistences gēniem jāiekļauj </w:t>
      </w:r>
      <w:proofErr w:type="spellStart"/>
      <w:r>
        <w:t>virulences</w:t>
      </w:r>
      <w:proofErr w:type="spellEnd"/>
      <w:r>
        <w:t xml:space="preserve"> gēnu izsekošanas iespējas. </w:t>
      </w:r>
    </w:p>
    <w:p w14:paraId="67236FCA" w14:textId="77777777" w:rsidR="00627352" w:rsidRDefault="00627352" w:rsidP="00627352">
      <w:pPr>
        <w:pStyle w:val="BodyB"/>
        <w:ind w:firstLine="720"/>
        <w:jc w:val="both"/>
      </w:pPr>
    </w:p>
    <w:p w14:paraId="32205764" w14:textId="5084397F" w:rsidR="003D20E1" w:rsidRPr="003D20E1" w:rsidRDefault="00000000" w:rsidP="003D20E1">
      <w:pPr>
        <w:pStyle w:val="BodyB"/>
        <w:jc w:val="center"/>
        <w:rPr>
          <w:b/>
          <w:bCs/>
        </w:rPr>
      </w:pPr>
      <w:r w:rsidRPr="003D20E1">
        <w:rPr>
          <w:b/>
          <w:bCs/>
        </w:rPr>
        <w:t>Infekciju profilakses un kontroles pasākumi</w:t>
      </w:r>
    </w:p>
    <w:p w14:paraId="6F0D5196" w14:textId="77777777" w:rsidR="00627352" w:rsidRDefault="00000000" w:rsidP="00627352">
      <w:pPr>
        <w:pStyle w:val="BodyB"/>
        <w:ind w:firstLine="720"/>
        <w:jc w:val="both"/>
      </w:pPr>
      <w:r>
        <w:t xml:space="preserve">Pastiprināti infekciju profilakses un kontroles (IPC) pasākumi </w:t>
      </w:r>
      <w:proofErr w:type="spellStart"/>
      <w:r>
        <w:t>hvKp</w:t>
      </w:r>
      <w:proofErr w:type="spellEnd"/>
      <w:r>
        <w:t xml:space="preserve"> ST23, kas satur </w:t>
      </w:r>
      <w:proofErr w:type="spellStart"/>
      <w:r>
        <w:t>karbapenemāzes</w:t>
      </w:r>
      <w:proofErr w:type="spellEnd"/>
      <w:r>
        <w:t xml:space="preserve"> gēnus, akūtās aprūpes iestādēs jāpiemēro tādi paši pastiprinātie kontroles pasākumi kā pret </w:t>
      </w:r>
      <w:proofErr w:type="spellStart"/>
      <w:r>
        <w:t>karbapenēmu</w:t>
      </w:r>
      <w:proofErr w:type="spellEnd"/>
      <w:r>
        <w:t xml:space="preserve"> </w:t>
      </w:r>
      <w:proofErr w:type="spellStart"/>
      <w:r>
        <w:t>rezistentu</w:t>
      </w:r>
      <w:proofErr w:type="spellEnd"/>
      <w:r>
        <w:t xml:space="preserve"> ne-</w:t>
      </w:r>
      <w:proofErr w:type="spellStart"/>
      <w:r>
        <w:t>hipervirulentu</w:t>
      </w:r>
      <w:proofErr w:type="spellEnd"/>
      <w:r>
        <w:t xml:space="preserve"> </w:t>
      </w:r>
      <w:r w:rsidRPr="0020502F">
        <w:rPr>
          <w:i/>
          <w:iCs/>
        </w:rPr>
        <w:t xml:space="preserve">K. </w:t>
      </w:r>
      <w:proofErr w:type="spellStart"/>
      <w:r w:rsidRPr="0020502F">
        <w:rPr>
          <w:i/>
          <w:iCs/>
        </w:rPr>
        <w:t>pneumoniae</w:t>
      </w:r>
      <w:proofErr w:type="spellEnd"/>
      <w:r>
        <w:t xml:space="preserve">. </w:t>
      </w:r>
    </w:p>
    <w:p w14:paraId="6CFFE4EB" w14:textId="77777777" w:rsidR="00627352" w:rsidRDefault="00000000" w:rsidP="00627352">
      <w:pPr>
        <w:pStyle w:val="BodyB"/>
        <w:ind w:firstLine="720"/>
        <w:jc w:val="both"/>
      </w:pPr>
      <w:r>
        <w:t xml:space="preserve">Efektīvi infekcijas kontroles pasākumi, lai novērstu </w:t>
      </w:r>
      <w:proofErr w:type="spellStart"/>
      <w:r>
        <w:t>karbapenēmu</w:t>
      </w:r>
      <w:proofErr w:type="spellEnd"/>
      <w:r>
        <w:t xml:space="preserve"> </w:t>
      </w:r>
      <w:proofErr w:type="spellStart"/>
      <w:r>
        <w:t>rezistento</w:t>
      </w:r>
      <w:proofErr w:type="spellEnd"/>
      <w:r>
        <w:t xml:space="preserve"> </w:t>
      </w:r>
      <w:proofErr w:type="spellStart"/>
      <w:r w:rsidRPr="0020502F">
        <w:rPr>
          <w:i/>
          <w:iCs/>
        </w:rPr>
        <w:t>Enterobacterales</w:t>
      </w:r>
      <w:proofErr w:type="spellEnd"/>
      <w:r>
        <w:t xml:space="preserve"> (CRE), tostarp </w:t>
      </w:r>
      <w:proofErr w:type="spellStart"/>
      <w:r>
        <w:t>karbapenemāzi</w:t>
      </w:r>
      <w:proofErr w:type="spellEnd"/>
      <w:r>
        <w:t xml:space="preserve"> producējošas </w:t>
      </w:r>
      <w:r w:rsidRPr="0020502F">
        <w:rPr>
          <w:i/>
          <w:iCs/>
        </w:rPr>
        <w:t xml:space="preserve">K. </w:t>
      </w:r>
      <w:proofErr w:type="spellStart"/>
      <w:r w:rsidRPr="0020502F">
        <w:rPr>
          <w:i/>
          <w:iCs/>
        </w:rPr>
        <w:t>pneumoniae</w:t>
      </w:r>
      <w:proofErr w:type="spellEnd"/>
      <w:r>
        <w:t xml:space="preserve">, izplatīšanos, ietver: </w:t>
      </w:r>
    </w:p>
    <w:p w14:paraId="2FFE0E46" w14:textId="77777777" w:rsidR="00627352" w:rsidRDefault="00000000" w:rsidP="00627352">
      <w:pPr>
        <w:pStyle w:val="BodyB"/>
        <w:numPr>
          <w:ilvl w:val="0"/>
          <w:numId w:val="4"/>
        </w:numPr>
        <w:jc w:val="both"/>
      </w:pPr>
      <w:r>
        <w:t xml:space="preserve">aktīva uzraudzība, veicot </w:t>
      </w:r>
      <w:proofErr w:type="spellStart"/>
      <w:r>
        <w:t>skrīningu</w:t>
      </w:r>
      <w:proofErr w:type="spellEnd"/>
      <w:r>
        <w:t xml:space="preserve"> </w:t>
      </w:r>
      <w:proofErr w:type="spellStart"/>
      <w:r>
        <w:t>karbapenemāzi</w:t>
      </w:r>
      <w:proofErr w:type="spellEnd"/>
      <w:r>
        <w:t xml:space="preserve"> producējošas </w:t>
      </w:r>
      <w:proofErr w:type="spellStart"/>
      <w:r w:rsidRPr="0020502F">
        <w:rPr>
          <w:i/>
          <w:iCs/>
        </w:rPr>
        <w:t>Enterobacterales</w:t>
      </w:r>
      <w:proofErr w:type="spellEnd"/>
      <w:r w:rsidRPr="0020502F">
        <w:rPr>
          <w:i/>
          <w:iCs/>
        </w:rPr>
        <w:t xml:space="preserve"> </w:t>
      </w:r>
      <w:r>
        <w:t xml:space="preserve"> ģints baktēriju noteikšanai no taisnās zarnas pacientiem ar paaugstinātu risku pirms uzņemšanas slimnīcā / nodaļā, kā arī uzliesmojuma laikā; </w:t>
      </w:r>
    </w:p>
    <w:p w14:paraId="4076537E" w14:textId="77777777" w:rsidR="00627352" w:rsidRDefault="00000000" w:rsidP="00627352">
      <w:pPr>
        <w:pStyle w:val="BodyB"/>
        <w:numPr>
          <w:ilvl w:val="0"/>
          <w:numId w:val="4"/>
        </w:numPr>
        <w:jc w:val="both"/>
      </w:pPr>
      <w:r>
        <w:t xml:space="preserve">profilaktiska kontakta piesardzības pasākumu īstenošana, ieskaitot izolāciju uzņemšanas laikā, uzliesmojuma laikā un/vai, pamatojoties uz transmisijas riska faktoriem; </w:t>
      </w:r>
    </w:p>
    <w:p w14:paraId="166DEE3B" w14:textId="77777777" w:rsidR="00627352" w:rsidRDefault="00000000" w:rsidP="00627352">
      <w:pPr>
        <w:pStyle w:val="BodyB"/>
        <w:numPr>
          <w:ilvl w:val="0"/>
          <w:numId w:val="4"/>
        </w:numPr>
        <w:jc w:val="both"/>
      </w:pPr>
      <w:r>
        <w:t xml:space="preserve">roku higiēna; </w:t>
      </w:r>
    </w:p>
    <w:p w14:paraId="1258FEAA" w14:textId="77777777" w:rsidR="00627352" w:rsidRDefault="00000000" w:rsidP="00627352">
      <w:pPr>
        <w:pStyle w:val="BodyB"/>
        <w:numPr>
          <w:ilvl w:val="0"/>
          <w:numId w:val="4"/>
        </w:numPr>
        <w:jc w:val="both"/>
      </w:pPr>
      <w:r>
        <w:t xml:space="preserve">pacienta izolēšana vienvietīgā palātā (ar tualeti), ja tāda ir pieejama; </w:t>
      </w:r>
    </w:p>
    <w:p w14:paraId="7B2E8031" w14:textId="77777777" w:rsidR="00627352" w:rsidRDefault="00000000" w:rsidP="00627352">
      <w:pPr>
        <w:pStyle w:val="BodyB"/>
        <w:numPr>
          <w:ilvl w:val="0"/>
          <w:numId w:val="4"/>
        </w:numPr>
        <w:jc w:val="both"/>
      </w:pPr>
      <w:r>
        <w:t xml:space="preserve">ja vienvietīgo palātu trūkst, pacienti ir jāievieto vienā telpā vai palātā, un jānodrošina īpašs personāls un medicīniskās iekārtas; </w:t>
      </w:r>
    </w:p>
    <w:p w14:paraId="41F8E018" w14:textId="77777777" w:rsidR="00627352" w:rsidRDefault="00000000" w:rsidP="00627352">
      <w:pPr>
        <w:pStyle w:val="BodyB"/>
        <w:numPr>
          <w:ilvl w:val="0"/>
          <w:numId w:val="4"/>
        </w:numPr>
        <w:jc w:val="both"/>
      </w:pPr>
      <w:r>
        <w:t xml:space="preserve">pacientu tuvākās apkārtnes ("pacientu zonas") vides uzkopšana; </w:t>
      </w:r>
    </w:p>
    <w:p w14:paraId="03B9E226" w14:textId="77777777" w:rsidR="00627352" w:rsidRDefault="00000000" w:rsidP="00627352">
      <w:pPr>
        <w:pStyle w:val="BodyB"/>
        <w:numPr>
          <w:ilvl w:val="0"/>
          <w:numId w:val="4"/>
        </w:numPr>
        <w:jc w:val="both"/>
      </w:pPr>
      <w:r>
        <w:t xml:space="preserve">personāla apmācība infekciju profilaksē un kontrolē; </w:t>
      </w:r>
    </w:p>
    <w:p w14:paraId="0D256EBA" w14:textId="77777777" w:rsidR="00627352" w:rsidRDefault="00000000" w:rsidP="00627352">
      <w:pPr>
        <w:pStyle w:val="BodyB"/>
        <w:numPr>
          <w:ilvl w:val="0"/>
          <w:numId w:val="4"/>
        </w:numPr>
        <w:jc w:val="both"/>
      </w:pPr>
      <w:r>
        <w:t xml:space="preserve">gadījuma reģistrācija un paziņošana; </w:t>
      </w:r>
    </w:p>
    <w:p w14:paraId="70157B68" w14:textId="77777777" w:rsidR="00627352" w:rsidRDefault="00000000" w:rsidP="00627352">
      <w:pPr>
        <w:pStyle w:val="BodyB"/>
        <w:numPr>
          <w:ilvl w:val="0"/>
          <w:numId w:val="4"/>
        </w:numPr>
        <w:jc w:val="both"/>
      </w:pPr>
      <w:r>
        <w:t xml:space="preserve">kontaktu izsekošana;  </w:t>
      </w:r>
    </w:p>
    <w:p w14:paraId="032C3A93" w14:textId="77777777" w:rsidR="00627352" w:rsidRDefault="00000000" w:rsidP="00627352">
      <w:pPr>
        <w:pStyle w:val="BodyB"/>
        <w:numPr>
          <w:ilvl w:val="0"/>
          <w:numId w:val="4"/>
        </w:numPr>
        <w:jc w:val="both"/>
      </w:pPr>
      <w:r>
        <w:t xml:space="preserve">antibiotiku lietošanas pārvaldība. </w:t>
      </w:r>
    </w:p>
    <w:p w14:paraId="52CFBB32" w14:textId="77777777" w:rsidR="00627352" w:rsidRDefault="00000000" w:rsidP="00627352">
      <w:pPr>
        <w:pStyle w:val="BodyB"/>
        <w:ind w:firstLine="720"/>
        <w:jc w:val="both"/>
      </w:pPr>
      <w:r>
        <w:t xml:space="preserve">Sociālās aprūpes iestādēs visi praktiskie IPC pasākumi, kas vērsti, lai samazinātu izplatības risku, būtu jāīsteno, ņemot vērā iemītnieku kopējās aprūpes vajadzības un iespējamo kaitējumu, kas saistīti ar ilgstošu izolāciju vienā telpā. </w:t>
      </w:r>
    </w:p>
    <w:p w14:paraId="064D43F0" w14:textId="77777777" w:rsidR="00627352" w:rsidRDefault="00627352" w:rsidP="00627352">
      <w:pPr>
        <w:pStyle w:val="BodyB"/>
        <w:jc w:val="both"/>
      </w:pPr>
    </w:p>
    <w:p w14:paraId="3A93A996" w14:textId="5D33FF57" w:rsidR="003D20E1" w:rsidRDefault="00000000" w:rsidP="00627352">
      <w:pPr>
        <w:pStyle w:val="BodyB"/>
        <w:jc w:val="both"/>
      </w:pPr>
      <w:r>
        <w:t xml:space="preserve">Lai iegūtu vairāk informācijas par CRE kontroles pasākumiem, ieteicams skatīt šādus materiālus: </w:t>
      </w:r>
    </w:p>
    <w:p w14:paraId="74918C71" w14:textId="77777777" w:rsidR="00D63491" w:rsidRDefault="00D63491" w:rsidP="003D20E1">
      <w:pPr>
        <w:pStyle w:val="BodyB"/>
        <w:jc w:val="both"/>
      </w:pPr>
    </w:p>
    <w:p w14:paraId="105C1030" w14:textId="0EC5C0D7" w:rsidR="00D63491" w:rsidRPr="00627352" w:rsidRDefault="00000000" w:rsidP="003D20E1">
      <w:pPr>
        <w:pStyle w:val="BodyB"/>
        <w:jc w:val="both"/>
        <w:rPr>
          <w:sz w:val="20"/>
          <w:szCs w:val="20"/>
        </w:rPr>
      </w:pPr>
      <w:r w:rsidRPr="00627352">
        <w:rPr>
          <w:sz w:val="20"/>
          <w:szCs w:val="20"/>
        </w:rPr>
        <w:t xml:space="preserve">ECDC, </w:t>
      </w:r>
      <w:proofErr w:type="spellStart"/>
      <w:r w:rsidR="003D20E1" w:rsidRPr="00627352">
        <w:rPr>
          <w:sz w:val="20"/>
          <w:szCs w:val="20"/>
        </w:rPr>
        <w:t>Infection</w:t>
      </w:r>
      <w:proofErr w:type="spellEnd"/>
      <w:r w:rsidR="003D20E1" w:rsidRPr="00627352">
        <w:rPr>
          <w:sz w:val="20"/>
          <w:szCs w:val="20"/>
        </w:rPr>
        <w:t xml:space="preserve"> </w:t>
      </w:r>
      <w:proofErr w:type="spellStart"/>
      <w:r w:rsidR="003D20E1" w:rsidRPr="00627352">
        <w:rPr>
          <w:sz w:val="20"/>
          <w:szCs w:val="20"/>
        </w:rPr>
        <w:t>prevention</w:t>
      </w:r>
      <w:proofErr w:type="spellEnd"/>
      <w:r w:rsidR="003D20E1" w:rsidRPr="00627352">
        <w:rPr>
          <w:sz w:val="20"/>
          <w:szCs w:val="20"/>
        </w:rPr>
        <w:t xml:space="preserve"> </w:t>
      </w:r>
      <w:proofErr w:type="spellStart"/>
      <w:r w:rsidR="003D20E1" w:rsidRPr="00627352">
        <w:rPr>
          <w:sz w:val="20"/>
          <w:szCs w:val="20"/>
        </w:rPr>
        <w:t>and</w:t>
      </w:r>
      <w:proofErr w:type="spellEnd"/>
      <w:r w:rsidR="003D20E1" w:rsidRPr="00627352">
        <w:rPr>
          <w:sz w:val="20"/>
          <w:szCs w:val="20"/>
        </w:rPr>
        <w:t xml:space="preserve"> </w:t>
      </w:r>
      <w:proofErr w:type="spellStart"/>
      <w:r w:rsidR="003D20E1" w:rsidRPr="00627352">
        <w:rPr>
          <w:sz w:val="20"/>
          <w:szCs w:val="20"/>
        </w:rPr>
        <w:t>control</w:t>
      </w:r>
      <w:proofErr w:type="spellEnd"/>
      <w:r w:rsidR="003D20E1" w:rsidRPr="00627352">
        <w:rPr>
          <w:sz w:val="20"/>
          <w:szCs w:val="20"/>
        </w:rPr>
        <w:t xml:space="preserve"> </w:t>
      </w:r>
      <w:proofErr w:type="spellStart"/>
      <w:r w:rsidR="003D20E1" w:rsidRPr="00627352">
        <w:rPr>
          <w:sz w:val="20"/>
          <w:szCs w:val="20"/>
        </w:rPr>
        <w:t>measures</w:t>
      </w:r>
      <w:proofErr w:type="spellEnd"/>
      <w:r w:rsidR="003D20E1" w:rsidRPr="00627352">
        <w:rPr>
          <w:sz w:val="20"/>
          <w:szCs w:val="20"/>
        </w:rPr>
        <w:t xml:space="preserve"> </w:t>
      </w:r>
      <w:proofErr w:type="spellStart"/>
      <w:r w:rsidR="003D20E1" w:rsidRPr="00627352">
        <w:rPr>
          <w:sz w:val="20"/>
          <w:szCs w:val="20"/>
        </w:rPr>
        <w:t>and</w:t>
      </w:r>
      <w:proofErr w:type="spellEnd"/>
      <w:r w:rsidR="003D20E1" w:rsidRPr="00627352">
        <w:rPr>
          <w:sz w:val="20"/>
          <w:szCs w:val="20"/>
        </w:rPr>
        <w:t xml:space="preserve"> </w:t>
      </w:r>
      <w:proofErr w:type="spellStart"/>
      <w:r w:rsidR="003D20E1" w:rsidRPr="00627352">
        <w:rPr>
          <w:sz w:val="20"/>
          <w:szCs w:val="20"/>
        </w:rPr>
        <w:t>tools</w:t>
      </w:r>
      <w:proofErr w:type="spellEnd"/>
      <w:r w:rsidR="003D20E1" w:rsidRPr="00627352">
        <w:rPr>
          <w:sz w:val="20"/>
          <w:szCs w:val="20"/>
        </w:rPr>
        <w:t xml:space="preserve"> </w:t>
      </w:r>
      <w:proofErr w:type="spellStart"/>
      <w:r w:rsidR="003D20E1" w:rsidRPr="00627352">
        <w:rPr>
          <w:sz w:val="20"/>
          <w:szCs w:val="20"/>
        </w:rPr>
        <w:t>for</w:t>
      </w:r>
      <w:proofErr w:type="spellEnd"/>
      <w:r w:rsidR="003D20E1" w:rsidRPr="00627352">
        <w:rPr>
          <w:sz w:val="20"/>
          <w:szCs w:val="20"/>
        </w:rPr>
        <w:t xml:space="preserve"> </w:t>
      </w:r>
      <w:proofErr w:type="spellStart"/>
      <w:r w:rsidR="003D20E1" w:rsidRPr="00627352">
        <w:rPr>
          <w:sz w:val="20"/>
          <w:szCs w:val="20"/>
        </w:rPr>
        <w:t>the</w:t>
      </w:r>
      <w:proofErr w:type="spellEnd"/>
      <w:r w:rsidR="003D20E1" w:rsidRPr="00627352">
        <w:rPr>
          <w:sz w:val="20"/>
          <w:szCs w:val="20"/>
        </w:rPr>
        <w:t xml:space="preserve"> </w:t>
      </w:r>
      <w:proofErr w:type="spellStart"/>
      <w:r w:rsidR="003D20E1" w:rsidRPr="00627352">
        <w:rPr>
          <w:sz w:val="20"/>
          <w:szCs w:val="20"/>
        </w:rPr>
        <w:t>prevention</w:t>
      </w:r>
      <w:proofErr w:type="spellEnd"/>
      <w:r w:rsidR="003D20E1" w:rsidRPr="00627352">
        <w:rPr>
          <w:sz w:val="20"/>
          <w:szCs w:val="20"/>
        </w:rPr>
        <w:t xml:space="preserve"> </w:t>
      </w:r>
      <w:proofErr w:type="spellStart"/>
      <w:r w:rsidR="003D20E1" w:rsidRPr="00627352">
        <w:rPr>
          <w:sz w:val="20"/>
          <w:szCs w:val="20"/>
        </w:rPr>
        <w:t>of</w:t>
      </w:r>
      <w:proofErr w:type="spellEnd"/>
      <w:r w:rsidR="003D20E1" w:rsidRPr="00627352">
        <w:rPr>
          <w:sz w:val="20"/>
          <w:szCs w:val="20"/>
        </w:rPr>
        <w:t xml:space="preserve"> </w:t>
      </w:r>
      <w:proofErr w:type="spellStart"/>
      <w:r w:rsidR="003D20E1" w:rsidRPr="00627352">
        <w:rPr>
          <w:sz w:val="20"/>
          <w:szCs w:val="20"/>
        </w:rPr>
        <w:t>entry</w:t>
      </w:r>
      <w:proofErr w:type="spellEnd"/>
      <w:r w:rsidR="003D20E1" w:rsidRPr="00627352">
        <w:rPr>
          <w:sz w:val="20"/>
          <w:szCs w:val="20"/>
        </w:rPr>
        <w:t xml:space="preserve"> </w:t>
      </w:r>
      <w:proofErr w:type="spellStart"/>
      <w:r w:rsidR="003D20E1" w:rsidRPr="00627352">
        <w:rPr>
          <w:sz w:val="20"/>
          <w:szCs w:val="20"/>
        </w:rPr>
        <w:t>of</w:t>
      </w:r>
      <w:proofErr w:type="spellEnd"/>
      <w:r w:rsidR="003D20E1" w:rsidRPr="00627352">
        <w:rPr>
          <w:sz w:val="20"/>
          <w:szCs w:val="20"/>
        </w:rPr>
        <w:t xml:space="preserve"> </w:t>
      </w:r>
      <w:proofErr w:type="spellStart"/>
      <w:r w:rsidR="003D20E1" w:rsidRPr="00627352">
        <w:rPr>
          <w:sz w:val="20"/>
          <w:szCs w:val="20"/>
        </w:rPr>
        <w:t>carbapenem-resistant</w:t>
      </w:r>
      <w:proofErr w:type="spellEnd"/>
      <w:r w:rsidR="003D20E1" w:rsidRPr="00627352">
        <w:rPr>
          <w:sz w:val="20"/>
          <w:szCs w:val="20"/>
        </w:rPr>
        <w:t xml:space="preserve"> </w:t>
      </w:r>
      <w:proofErr w:type="spellStart"/>
      <w:r w:rsidR="003D20E1" w:rsidRPr="00627352">
        <w:rPr>
          <w:i/>
          <w:iCs/>
          <w:sz w:val="20"/>
          <w:szCs w:val="20"/>
        </w:rPr>
        <w:t>Enterobacteriaceae</w:t>
      </w:r>
      <w:proofErr w:type="spellEnd"/>
      <w:r w:rsidR="003D20E1" w:rsidRPr="00627352">
        <w:rPr>
          <w:sz w:val="20"/>
          <w:szCs w:val="20"/>
        </w:rPr>
        <w:t xml:space="preserve"> </w:t>
      </w:r>
      <w:proofErr w:type="spellStart"/>
      <w:r w:rsidR="003D20E1" w:rsidRPr="00627352">
        <w:rPr>
          <w:sz w:val="20"/>
          <w:szCs w:val="20"/>
        </w:rPr>
        <w:t>into</w:t>
      </w:r>
      <w:proofErr w:type="spellEnd"/>
      <w:r w:rsidR="003D20E1" w:rsidRPr="00627352">
        <w:rPr>
          <w:sz w:val="20"/>
          <w:szCs w:val="20"/>
        </w:rPr>
        <w:t xml:space="preserve"> </w:t>
      </w:r>
      <w:proofErr w:type="spellStart"/>
      <w:r w:rsidR="003D20E1" w:rsidRPr="00627352">
        <w:rPr>
          <w:sz w:val="20"/>
          <w:szCs w:val="20"/>
        </w:rPr>
        <w:t>healthcare</w:t>
      </w:r>
      <w:proofErr w:type="spellEnd"/>
      <w:r w:rsidR="003D20E1" w:rsidRPr="00627352">
        <w:rPr>
          <w:sz w:val="20"/>
          <w:szCs w:val="20"/>
        </w:rPr>
        <w:t xml:space="preserve"> </w:t>
      </w:r>
      <w:proofErr w:type="spellStart"/>
      <w:r w:rsidR="003D20E1" w:rsidRPr="00627352">
        <w:rPr>
          <w:sz w:val="20"/>
          <w:szCs w:val="20"/>
        </w:rPr>
        <w:t>settings</w:t>
      </w:r>
      <w:proofErr w:type="spellEnd"/>
      <w:r w:rsidRPr="00627352">
        <w:rPr>
          <w:sz w:val="20"/>
          <w:szCs w:val="20"/>
        </w:rPr>
        <w:t xml:space="preserve">. </w:t>
      </w:r>
      <w:r w:rsidR="003D20E1" w:rsidRPr="00627352">
        <w:rPr>
          <w:sz w:val="20"/>
          <w:szCs w:val="20"/>
        </w:rPr>
        <w:t>2017.</w:t>
      </w:r>
    </w:p>
    <w:p w14:paraId="4DDDAFD1" w14:textId="1F15549F" w:rsidR="003D20E1" w:rsidRPr="00627352" w:rsidRDefault="00000000" w:rsidP="003D20E1">
      <w:pPr>
        <w:pStyle w:val="BodyB"/>
        <w:jc w:val="both"/>
        <w:rPr>
          <w:sz w:val="20"/>
          <w:szCs w:val="20"/>
        </w:rPr>
      </w:pPr>
      <w:r w:rsidRPr="00627352">
        <w:rPr>
          <w:sz w:val="20"/>
          <w:szCs w:val="20"/>
        </w:rPr>
        <w:t xml:space="preserve"> </w:t>
      </w:r>
      <w:hyperlink r:id="rId8" w:history="1">
        <w:r w:rsidRPr="00627352">
          <w:rPr>
            <w:rStyle w:val="Hyperlink"/>
            <w:sz w:val="20"/>
            <w:szCs w:val="20"/>
          </w:rPr>
          <w:t>https://www.ncbi.nlm.nih.gov/pmc/articles/PMC5686856/pdf/13756_2017_Article_259.pdf</w:t>
        </w:r>
      </w:hyperlink>
      <w:r w:rsidRPr="00627352">
        <w:rPr>
          <w:sz w:val="20"/>
          <w:szCs w:val="20"/>
        </w:rPr>
        <w:t xml:space="preserve"> </w:t>
      </w:r>
    </w:p>
    <w:p w14:paraId="4CAEB3FA" w14:textId="77777777" w:rsidR="003D20E1" w:rsidRPr="00627352" w:rsidRDefault="003D20E1" w:rsidP="003D20E1">
      <w:pPr>
        <w:pStyle w:val="BodyB"/>
        <w:jc w:val="both"/>
        <w:rPr>
          <w:sz w:val="20"/>
          <w:szCs w:val="20"/>
        </w:rPr>
      </w:pPr>
    </w:p>
    <w:p w14:paraId="0BC945E6" w14:textId="77777777" w:rsidR="00D63491" w:rsidRPr="00627352" w:rsidRDefault="00000000" w:rsidP="00D63491">
      <w:pPr>
        <w:pStyle w:val="BodyB"/>
        <w:jc w:val="both"/>
        <w:rPr>
          <w:sz w:val="20"/>
          <w:szCs w:val="20"/>
        </w:rPr>
      </w:pPr>
      <w:r w:rsidRPr="00627352">
        <w:rPr>
          <w:sz w:val="20"/>
          <w:szCs w:val="20"/>
        </w:rPr>
        <w:t>ECDC,</w:t>
      </w:r>
      <w:r w:rsidR="003D20E1" w:rsidRPr="00627352">
        <w:rPr>
          <w:sz w:val="20"/>
          <w:szCs w:val="20"/>
        </w:rPr>
        <w:t xml:space="preserve"> </w:t>
      </w:r>
      <w:proofErr w:type="spellStart"/>
      <w:r w:rsidRPr="00627352">
        <w:rPr>
          <w:sz w:val="20"/>
          <w:szCs w:val="20"/>
        </w:rPr>
        <w:t>Rapid</w:t>
      </w:r>
      <w:proofErr w:type="spellEnd"/>
      <w:r w:rsidRPr="00627352">
        <w:rPr>
          <w:sz w:val="20"/>
          <w:szCs w:val="20"/>
        </w:rPr>
        <w:t xml:space="preserve"> risk </w:t>
      </w:r>
      <w:proofErr w:type="spellStart"/>
      <w:r w:rsidRPr="00627352">
        <w:rPr>
          <w:sz w:val="20"/>
          <w:szCs w:val="20"/>
        </w:rPr>
        <w:t>assessment</w:t>
      </w:r>
      <w:proofErr w:type="spellEnd"/>
      <w:r w:rsidRPr="00627352">
        <w:rPr>
          <w:sz w:val="20"/>
          <w:szCs w:val="20"/>
        </w:rPr>
        <w:t xml:space="preserve">: </w:t>
      </w:r>
      <w:proofErr w:type="spellStart"/>
      <w:r w:rsidRPr="00627352">
        <w:rPr>
          <w:sz w:val="20"/>
          <w:szCs w:val="20"/>
        </w:rPr>
        <w:t>carbapenem-resistant</w:t>
      </w:r>
      <w:proofErr w:type="spellEnd"/>
      <w:r w:rsidRPr="00627352">
        <w:rPr>
          <w:sz w:val="20"/>
          <w:szCs w:val="20"/>
        </w:rPr>
        <w:t xml:space="preserve"> </w:t>
      </w:r>
      <w:proofErr w:type="spellStart"/>
      <w:r w:rsidRPr="00627352">
        <w:rPr>
          <w:i/>
          <w:iCs/>
          <w:sz w:val="20"/>
          <w:szCs w:val="20"/>
        </w:rPr>
        <w:t>Enterobacteriaceae</w:t>
      </w:r>
      <w:proofErr w:type="spellEnd"/>
      <w:r w:rsidRPr="00627352">
        <w:rPr>
          <w:i/>
          <w:iCs/>
          <w:sz w:val="20"/>
          <w:szCs w:val="20"/>
        </w:rPr>
        <w:t xml:space="preserve"> </w:t>
      </w:r>
      <w:r w:rsidRPr="00627352">
        <w:rPr>
          <w:sz w:val="20"/>
          <w:szCs w:val="20"/>
        </w:rPr>
        <w:t xml:space="preserve">– </w:t>
      </w:r>
      <w:proofErr w:type="spellStart"/>
      <w:r w:rsidRPr="00627352">
        <w:rPr>
          <w:sz w:val="20"/>
          <w:szCs w:val="20"/>
        </w:rPr>
        <w:t>second</w:t>
      </w:r>
      <w:proofErr w:type="spellEnd"/>
      <w:r w:rsidRPr="00627352">
        <w:rPr>
          <w:sz w:val="20"/>
          <w:szCs w:val="20"/>
        </w:rPr>
        <w:t xml:space="preserve"> </w:t>
      </w:r>
      <w:proofErr w:type="spellStart"/>
      <w:r w:rsidRPr="00627352">
        <w:rPr>
          <w:sz w:val="20"/>
          <w:szCs w:val="20"/>
        </w:rPr>
        <w:t>update</w:t>
      </w:r>
      <w:proofErr w:type="spellEnd"/>
      <w:r w:rsidRPr="00627352">
        <w:rPr>
          <w:sz w:val="20"/>
          <w:szCs w:val="20"/>
        </w:rPr>
        <w:t xml:space="preserve">. </w:t>
      </w:r>
      <w:proofErr w:type="spellStart"/>
      <w:r w:rsidRPr="00627352">
        <w:rPr>
          <w:sz w:val="20"/>
          <w:szCs w:val="20"/>
        </w:rPr>
        <w:t>Stockholm</w:t>
      </w:r>
      <w:proofErr w:type="spellEnd"/>
      <w:r w:rsidRPr="00627352">
        <w:rPr>
          <w:sz w:val="20"/>
          <w:szCs w:val="20"/>
        </w:rPr>
        <w:t>: ECDC; 2019.</w:t>
      </w:r>
    </w:p>
    <w:p w14:paraId="40C121EB" w14:textId="4F3BFC36" w:rsidR="003D20E1" w:rsidRPr="00627352" w:rsidRDefault="00000000" w:rsidP="00D63491">
      <w:pPr>
        <w:pStyle w:val="BodyB"/>
        <w:jc w:val="both"/>
        <w:rPr>
          <w:sz w:val="20"/>
          <w:szCs w:val="20"/>
        </w:rPr>
      </w:pPr>
      <w:hyperlink r:id="rId9" w:history="1">
        <w:r w:rsidR="00D63491" w:rsidRPr="00627352">
          <w:rPr>
            <w:rStyle w:val="Hyperlink"/>
            <w:sz w:val="20"/>
            <w:szCs w:val="20"/>
          </w:rPr>
          <w:t>https://www.ecdc.europa.eu/sites/default/files/documents/carbapenem-resistant-enterobacteriaceae-risk-assessment-rev-2.pdf</w:t>
        </w:r>
      </w:hyperlink>
      <w:r w:rsidRPr="00627352">
        <w:rPr>
          <w:sz w:val="20"/>
          <w:szCs w:val="20"/>
        </w:rPr>
        <w:t xml:space="preserve"> </w:t>
      </w:r>
    </w:p>
    <w:p w14:paraId="2E7F7883" w14:textId="77777777" w:rsidR="003D20E1" w:rsidRPr="00627352" w:rsidRDefault="003D20E1" w:rsidP="003D20E1">
      <w:pPr>
        <w:pStyle w:val="BodyB"/>
        <w:jc w:val="both"/>
        <w:rPr>
          <w:sz w:val="20"/>
          <w:szCs w:val="20"/>
        </w:rPr>
      </w:pPr>
    </w:p>
    <w:p w14:paraId="5E8E4196" w14:textId="32B27DB2" w:rsidR="0020502F" w:rsidRPr="00627352" w:rsidRDefault="00000000" w:rsidP="00B00DEC">
      <w:pPr>
        <w:pStyle w:val="BodyB"/>
        <w:rPr>
          <w:sz w:val="20"/>
          <w:szCs w:val="20"/>
        </w:rPr>
      </w:pPr>
      <w:r w:rsidRPr="00627352">
        <w:rPr>
          <w:sz w:val="20"/>
          <w:szCs w:val="20"/>
        </w:rPr>
        <w:t xml:space="preserve">WHO, </w:t>
      </w:r>
      <w:proofErr w:type="spellStart"/>
      <w:r w:rsidRPr="00627352">
        <w:rPr>
          <w:sz w:val="20"/>
          <w:szCs w:val="20"/>
        </w:rPr>
        <w:t>Guidelines</w:t>
      </w:r>
      <w:proofErr w:type="spellEnd"/>
      <w:r w:rsidRPr="00627352">
        <w:rPr>
          <w:sz w:val="20"/>
          <w:szCs w:val="20"/>
        </w:rPr>
        <w:t xml:space="preserve"> </w:t>
      </w:r>
      <w:proofErr w:type="spellStart"/>
      <w:r w:rsidRPr="00627352">
        <w:rPr>
          <w:sz w:val="20"/>
          <w:szCs w:val="20"/>
        </w:rPr>
        <w:t>for</w:t>
      </w:r>
      <w:proofErr w:type="spellEnd"/>
      <w:r w:rsidRPr="00627352">
        <w:rPr>
          <w:sz w:val="20"/>
          <w:szCs w:val="20"/>
        </w:rPr>
        <w:t xml:space="preserve"> </w:t>
      </w:r>
      <w:proofErr w:type="spellStart"/>
      <w:r w:rsidRPr="00627352">
        <w:rPr>
          <w:sz w:val="20"/>
          <w:szCs w:val="20"/>
        </w:rPr>
        <w:t>the</w:t>
      </w:r>
      <w:proofErr w:type="spellEnd"/>
      <w:r w:rsidRPr="00627352">
        <w:rPr>
          <w:sz w:val="20"/>
          <w:szCs w:val="20"/>
        </w:rPr>
        <w:t xml:space="preserve"> </w:t>
      </w:r>
      <w:proofErr w:type="spellStart"/>
      <w:r w:rsidRPr="00627352">
        <w:rPr>
          <w:sz w:val="20"/>
          <w:szCs w:val="20"/>
        </w:rPr>
        <w:t>prevention</w:t>
      </w:r>
      <w:proofErr w:type="spellEnd"/>
      <w:r w:rsidRPr="00627352">
        <w:rPr>
          <w:sz w:val="20"/>
          <w:szCs w:val="20"/>
        </w:rPr>
        <w:t xml:space="preserve"> </w:t>
      </w:r>
      <w:proofErr w:type="spellStart"/>
      <w:r w:rsidRPr="00627352">
        <w:rPr>
          <w:sz w:val="20"/>
          <w:szCs w:val="20"/>
        </w:rPr>
        <w:t>and</w:t>
      </w:r>
      <w:proofErr w:type="spellEnd"/>
      <w:r w:rsidRPr="00627352">
        <w:rPr>
          <w:sz w:val="20"/>
          <w:szCs w:val="20"/>
        </w:rPr>
        <w:t xml:space="preserve"> </w:t>
      </w:r>
      <w:proofErr w:type="spellStart"/>
      <w:r w:rsidRPr="00627352">
        <w:rPr>
          <w:sz w:val="20"/>
          <w:szCs w:val="20"/>
        </w:rPr>
        <w:t>controof</w:t>
      </w:r>
      <w:proofErr w:type="spellEnd"/>
      <w:r w:rsidRPr="00627352">
        <w:rPr>
          <w:sz w:val="20"/>
          <w:szCs w:val="20"/>
        </w:rPr>
        <w:t xml:space="preserve"> </w:t>
      </w:r>
      <w:proofErr w:type="spellStart"/>
      <w:r w:rsidRPr="00627352">
        <w:rPr>
          <w:sz w:val="20"/>
          <w:szCs w:val="20"/>
        </w:rPr>
        <w:t>carbapenem-resistant</w:t>
      </w:r>
      <w:proofErr w:type="spellEnd"/>
      <w:r w:rsidRPr="00627352">
        <w:rPr>
          <w:sz w:val="20"/>
          <w:szCs w:val="20"/>
        </w:rPr>
        <w:t xml:space="preserve"> </w:t>
      </w:r>
      <w:proofErr w:type="spellStart"/>
      <w:r w:rsidRPr="00627352">
        <w:rPr>
          <w:i/>
          <w:iCs/>
          <w:sz w:val="20"/>
          <w:szCs w:val="20"/>
        </w:rPr>
        <w:t>Enterobacteriaceae</w:t>
      </w:r>
      <w:proofErr w:type="spellEnd"/>
      <w:r w:rsidRPr="00627352">
        <w:rPr>
          <w:i/>
          <w:iCs/>
          <w:sz w:val="20"/>
          <w:szCs w:val="20"/>
        </w:rPr>
        <w:t>,</w:t>
      </w:r>
      <w:r w:rsidRPr="00627352">
        <w:rPr>
          <w:sz w:val="20"/>
          <w:szCs w:val="20"/>
        </w:rPr>
        <w:t xml:space="preserve"> </w:t>
      </w:r>
      <w:proofErr w:type="spellStart"/>
      <w:r w:rsidRPr="00627352">
        <w:rPr>
          <w:i/>
          <w:iCs/>
          <w:sz w:val="20"/>
          <w:szCs w:val="20"/>
        </w:rPr>
        <w:t>Acinetobacter</w:t>
      </w:r>
      <w:proofErr w:type="spellEnd"/>
      <w:r w:rsidRPr="00627352">
        <w:rPr>
          <w:i/>
          <w:iCs/>
          <w:sz w:val="20"/>
          <w:szCs w:val="20"/>
        </w:rPr>
        <w:t xml:space="preserve"> </w:t>
      </w:r>
      <w:proofErr w:type="spellStart"/>
      <w:r w:rsidRPr="00627352">
        <w:rPr>
          <w:i/>
          <w:iCs/>
          <w:sz w:val="20"/>
          <w:szCs w:val="20"/>
        </w:rPr>
        <w:t>baumannii</w:t>
      </w:r>
      <w:proofErr w:type="spellEnd"/>
      <w:r w:rsidRPr="00627352">
        <w:rPr>
          <w:i/>
          <w:iCs/>
          <w:sz w:val="20"/>
          <w:szCs w:val="20"/>
        </w:rPr>
        <w:t xml:space="preserve"> </w:t>
      </w:r>
      <w:proofErr w:type="spellStart"/>
      <w:r w:rsidRPr="00627352">
        <w:rPr>
          <w:sz w:val="20"/>
          <w:szCs w:val="20"/>
        </w:rPr>
        <w:t>and</w:t>
      </w:r>
      <w:proofErr w:type="spellEnd"/>
      <w:r w:rsidRPr="00627352">
        <w:rPr>
          <w:sz w:val="20"/>
          <w:szCs w:val="20"/>
        </w:rPr>
        <w:t xml:space="preserve"> </w:t>
      </w:r>
      <w:proofErr w:type="spellStart"/>
      <w:r w:rsidRPr="00627352">
        <w:rPr>
          <w:i/>
          <w:iCs/>
          <w:sz w:val="20"/>
          <w:szCs w:val="20"/>
        </w:rPr>
        <w:t>Pseudomonas</w:t>
      </w:r>
      <w:proofErr w:type="spellEnd"/>
      <w:r w:rsidRPr="00627352">
        <w:rPr>
          <w:i/>
          <w:iCs/>
          <w:sz w:val="20"/>
          <w:szCs w:val="20"/>
        </w:rPr>
        <w:t xml:space="preserve"> </w:t>
      </w:r>
      <w:proofErr w:type="spellStart"/>
      <w:r w:rsidRPr="00627352">
        <w:rPr>
          <w:i/>
          <w:iCs/>
          <w:sz w:val="20"/>
          <w:szCs w:val="20"/>
        </w:rPr>
        <w:t>aeruginosa</w:t>
      </w:r>
      <w:proofErr w:type="spellEnd"/>
      <w:r w:rsidRPr="00627352">
        <w:rPr>
          <w:sz w:val="20"/>
          <w:szCs w:val="20"/>
        </w:rPr>
        <w:t xml:space="preserve"> </w:t>
      </w:r>
      <w:proofErr w:type="spellStart"/>
      <w:r w:rsidRPr="00627352">
        <w:rPr>
          <w:sz w:val="20"/>
          <w:szCs w:val="20"/>
        </w:rPr>
        <w:t>in</w:t>
      </w:r>
      <w:proofErr w:type="spellEnd"/>
      <w:r w:rsidRPr="00627352">
        <w:rPr>
          <w:sz w:val="20"/>
          <w:szCs w:val="20"/>
        </w:rPr>
        <w:t xml:space="preserve"> </w:t>
      </w:r>
      <w:proofErr w:type="spellStart"/>
      <w:r w:rsidRPr="00627352">
        <w:rPr>
          <w:sz w:val="20"/>
          <w:szCs w:val="20"/>
        </w:rPr>
        <w:t>health</w:t>
      </w:r>
      <w:proofErr w:type="spellEnd"/>
      <w:r w:rsidRPr="00627352">
        <w:rPr>
          <w:sz w:val="20"/>
          <w:szCs w:val="20"/>
        </w:rPr>
        <w:t xml:space="preserve"> </w:t>
      </w:r>
      <w:proofErr w:type="spellStart"/>
      <w:r w:rsidRPr="00627352">
        <w:rPr>
          <w:sz w:val="20"/>
          <w:szCs w:val="20"/>
        </w:rPr>
        <w:t>care</w:t>
      </w:r>
      <w:proofErr w:type="spellEnd"/>
      <w:r w:rsidRPr="00627352">
        <w:rPr>
          <w:sz w:val="20"/>
          <w:szCs w:val="20"/>
        </w:rPr>
        <w:t xml:space="preserve"> </w:t>
      </w:r>
      <w:proofErr w:type="spellStart"/>
      <w:r w:rsidRPr="00627352">
        <w:rPr>
          <w:sz w:val="20"/>
          <w:szCs w:val="20"/>
        </w:rPr>
        <w:t>facilities</w:t>
      </w:r>
      <w:proofErr w:type="spellEnd"/>
      <w:r w:rsidR="003D20E1" w:rsidRPr="00627352">
        <w:rPr>
          <w:sz w:val="20"/>
          <w:szCs w:val="20"/>
        </w:rPr>
        <w:t>; 2017.</w:t>
      </w:r>
    </w:p>
    <w:p w14:paraId="0EBD060C" w14:textId="1276F9E0" w:rsidR="003D20E1" w:rsidRPr="00627352" w:rsidRDefault="00000000" w:rsidP="003D20E1">
      <w:pPr>
        <w:pStyle w:val="BodyB"/>
        <w:jc w:val="both"/>
        <w:rPr>
          <w:sz w:val="20"/>
          <w:szCs w:val="20"/>
        </w:rPr>
      </w:pPr>
      <w:r w:rsidRPr="00627352">
        <w:rPr>
          <w:sz w:val="20"/>
          <w:szCs w:val="20"/>
        </w:rPr>
        <w:t xml:space="preserve"> </w:t>
      </w:r>
      <w:hyperlink r:id="rId10" w:history="1">
        <w:r w:rsidRPr="00627352">
          <w:rPr>
            <w:rStyle w:val="Hyperlink"/>
            <w:sz w:val="20"/>
            <w:szCs w:val="20"/>
          </w:rPr>
          <w:t>https://apps.who.int/iris/bitstream/handle/10665/259462/9789241550178-eng.pdf;jsessionid=78C00A4F9C756ED36D7E739495464F50?sequence=1</w:t>
        </w:r>
      </w:hyperlink>
    </w:p>
    <w:p w14:paraId="69C5C393" w14:textId="189439BC" w:rsidR="003D20E1" w:rsidRPr="00627352" w:rsidRDefault="00000000" w:rsidP="003D20E1">
      <w:pPr>
        <w:pStyle w:val="BodyB"/>
        <w:jc w:val="both"/>
        <w:rPr>
          <w:sz w:val="20"/>
          <w:szCs w:val="20"/>
        </w:rPr>
      </w:pPr>
      <w:r w:rsidRPr="00627352">
        <w:rPr>
          <w:sz w:val="20"/>
          <w:szCs w:val="20"/>
        </w:rPr>
        <w:t xml:space="preserve"> </w:t>
      </w:r>
    </w:p>
    <w:p w14:paraId="7C151172" w14:textId="018E3A9D" w:rsidR="0020502F" w:rsidRPr="00627352" w:rsidRDefault="00000000" w:rsidP="00B00DEC">
      <w:pPr>
        <w:pStyle w:val="BodyB"/>
        <w:rPr>
          <w:sz w:val="20"/>
          <w:szCs w:val="20"/>
        </w:rPr>
      </w:pPr>
      <w:r w:rsidRPr="00627352">
        <w:rPr>
          <w:sz w:val="20"/>
          <w:szCs w:val="20"/>
        </w:rPr>
        <w:t xml:space="preserve">WHO, </w:t>
      </w:r>
      <w:proofErr w:type="spellStart"/>
      <w:r w:rsidRPr="00627352">
        <w:rPr>
          <w:sz w:val="20"/>
          <w:szCs w:val="20"/>
        </w:rPr>
        <w:t>Implementation</w:t>
      </w:r>
      <w:proofErr w:type="spellEnd"/>
      <w:r w:rsidRPr="00627352">
        <w:rPr>
          <w:sz w:val="20"/>
          <w:szCs w:val="20"/>
        </w:rPr>
        <w:t xml:space="preserve"> </w:t>
      </w:r>
      <w:proofErr w:type="spellStart"/>
      <w:r w:rsidRPr="00627352">
        <w:rPr>
          <w:sz w:val="20"/>
          <w:szCs w:val="20"/>
        </w:rPr>
        <w:t>manual</w:t>
      </w:r>
      <w:proofErr w:type="spellEnd"/>
      <w:r w:rsidRPr="00627352">
        <w:rPr>
          <w:sz w:val="20"/>
          <w:szCs w:val="20"/>
        </w:rPr>
        <w:t xml:space="preserve"> to </w:t>
      </w:r>
      <w:proofErr w:type="spellStart"/>
      <w:r w:rsidRPr="00627352">
        <w:rPr>
          <w:sz w:val="20"/>
          <w:szCs w:val="20"/>
        </w:rPr>
        <w:t>prevent</w:t>
      </w:r>
      <w:proofErr w:type="spellEnd"/>
      <w:r w:rsidRPr="00627352">
        <w:rPr>
          <w:sz w:val="20"/>
          <w:szCs w:val="20"/>
        </w:rPr>
        <w:t xml:space="preserve"> </w:t>
      </w:r>
      <w:proofErr w:type="spellStart"/>
      <w:r w:rsidRPr="00627352">
        <w:rPr>
          <w:sz w:val="20"/>
          <w:szCs w:val="20"/>
        </w:rPr>
        <w:t>and</w:t>
      </w:r>
      <w:proofErr w:type="spellEnd"/>
      <w:r w:rsidRPr="00627352">
        <w:rPr>
          <w:sz w:val="20"/>
          <w:szCs w:val="20"/>
        </w:rPr>
        <w:t xml:space="preserve"> </w:t>
      </w:r>
      <w:proofErr w:type="spellStart"/>
      <w:r w:rsidRPr="00627352">
        <w:rPr>
          <w:sz w:val="20"/>
          <w:szCs w:val="20"/>
        </w:rPr>
        <w:t>control</w:t>
      </w:r>
      <w:proofErr w:type="spellEnd"/>
      <w:r w:rsidRPr="00627352">
        <w:rPr>
          <w:sz w:val="20"/>
          <w:szCs w:val="20"/>
        </w:rPr>
        <w:t xml:space="preserve"> </w:t>
      </w:r>
      <w:proofErr w:type="spellStart"/>
      <w:r w:rsidRPr="00627352">
        <w:rPr>
          <w:sz w:val="20"/>
          <w:szCs w:val="20"/>
        </w:rPr>
        <w:t>the</w:t>
      </w:r>
      <w:proofErr w:type="spellEnd"/>
      <w:r w:rsidRPr="00627352">
        <w:rPr>
          <w:sz w:val="20"/>
          <w:szCs w:val="20"/>
        </w:rPr>
        <w:t xml:space="preserve"> </w:t>
      </w:r>
      <w:proofErr w:type="spellStart"/>
      <w:r w:rsidRPr="00627352">
        <w:rPr>
          <w:sz w:val="20"/>
          <w:szCs w:val="20"/>
        </w:rPr>
        <w:t>spread</w:t>
      </w:r>
      <w:proofErr w:type="spellEnd"/>
      <w:r w:rsidRPr="00627352">
        <w:rPr>
          <w:sz w:val="20"/>
          <w:szCs w:val="20"/>
        </w:rPr>
        <w:t xml:space="preserve"> </w:t>
      </w:r>
      <w:proofErr w:type="spellStart"/>
      <w:r w:rsidRPr="00627352">
        <w:rPr>
          <w:sz w:val="20"/>
          <w:szCs w:val="20"/>
        </w:rPr>
        <w:t>of</w:t>
      </w:r>
      <w:proofErr w:type="spellEnd"/>
      <w:r w:rsidRPr="00627352">
        <w:rPr>
          <w:sz w:val="20"/>
          <w:szCs w:val="20"/>
        </w:rPr>
        <w:t xml:space="preserve"> </w:t>
      </w:r>
      <w:proofErr w:type="spellStart"/>
      <w:r w:rsidRPr="00627352">
        <w:rPr>
          <w:sz w:val="20"/>
          <w:szCs w:val="20"/>
        </w:rPr>
        <w:t>carbapenem-resistant</w:t>
      </w:r>
      <w:proofErr w:type="spellEnd"/>
      <w:r w:rsidRPr="00627352">
        <w:rPr>
          <w:sz w:val="20"/>
          <w:szCs w:val="20"/>
        </w:rPr>
        <w:t xml:space="preserve"> organisms </w:t>
      </w:r>
      <w:proofErr w:type="spellStart"/>
      <w:r w:rsidRPr="00627352">
        <w:rPr>
          <w:sz w:val="20"/>
          <w:szCs w:val="20"/>
        </w:rPr>
        <w:t>at</w:t>
      </w:r>
      <w:proofErr w:type="spellEnd"/>
      <w:r w:rsidRPr="00627352">
        <w:rPr>
          <w:sz w:val="20"/>
          <w:szCs w:val="20"/>
        </w:rPr>
        <w:t xml:space="preserve"> </w:t>
      </w:r>
      <w:proofErr w:type="spellStart"/>
      <w:r w:rsidRPr="00627352">
        <w:rPr>
          <w:sz w:val="20"/>
          <w:szCs w:val="20"/>
        </w:rPr>
        <w:t>the</w:t>
      </w:r>
      <w:proofErr w:type="spellEnd"/>
      <w:r w:rsidRPr="00627352">
        <w:rPr>
          <w:sz w:val="20"/>
          <w:szCs w:val="20"/>
        </w:rPr>
        <w:t xml:space="preserve"> </w:t>
      </w:r>
      <w:proofErr w:type="spellStart"/>
      <w:r w:rsidRPr="00627352">
        <w:rPr>
          <w:sz w:val="20"/>
          <w:szCs w:val="20"/>
        </w:rPr>
        <w:t>national</w:t>
      </w:r>
      <w:proofErr w:type="spellEnd"/>
      <w:r w:rsidRPr="00627352">
        <w:rPr>
          <w:sz w:val="20"/>
          <w:szCs w:val="20"/>
        </w:rPr>
        <w:t xml:space="preserve"> </w:t>
      </w:r>
      <w:proofErr w:type="spellStart"/>
      <w:r w:rsidRPr="00627352">
        <w:rPr>
          <w:sz w:val="20"/>
          <w:szCs w:val="20"/>
        </w:rPr>
        <w:t>and</w:t>
      </w:r>
      <w:proofErr w:type="spellEnd"/>
      <w:r w:rsidRPr="00627352">
        <w:rPr>
          <w:sz w:val="20"/>
          <w:szCs w:val="20"/>
        </w:rPr>
        <w:t xml:space="preserve"> </w:t>
      </w:r>
      <w:proofErr w:type="spellStart"/>
      <w:r w:rsidRPr="00627352">
        <w:rPr>
          <w:sz w:val="20"/>
          <w:szCs w:val="20"/>
        </w:rPr>
        <w:t>health</w:t>
      </w:r>
      <w:proofErr w:type="spellEnd"/>
      <w:r w:rsidRPr="00627352">
        <w:rPr>
          <w:sz w:val="20"/>
          <w:szCs w:val="20"/>
        </w:rPr>
        <w:t xml:space="preserve"> </w:t>
      </w:r>
      <w:proofErr w:type="spellStart"/>
      <w:r w:rsidRPr="00627352">
        <w:rPr>
          <w:sz w:val="20"/>
          <w:szCs w:val="20"/>
        </w:rPr>
        <w:t>care</w:t>
      </w:r>
      <w:proofErr w:type="spellEnd"/>
      <w:r w:rsidRPr="00627352">
        <w:rPr>
          <w:sz w:val="20"/>
          <w:szCs w:val="20"/>
        </w:rPr>
        <w:t xml:space="preserve"> </w:t>
      </w:r>
      <w:proofErr w:type="spellStart"/>
      <w:r w:rsidRPr="00627352">
        <w:rPr>
          <w:sz w:val="20"/>
          <w:szCs w:val="20"/>
        </w:rPr>
        <w:t>facility</w:t>
      </w:r>
      <w:proofErr w:type="spellEnd"/>
      <w:r w:rsidRPr="00627352">
        <w:rPr>
          <w:sz w:val="20"/>
          <w:szCs w:val="20"/>
        </w:rPr>
        <w:t xml:space="preserve"> </w:t>
      </w:r>
      <w:proofErr w:type="spellStart"/>
      <w:r w:rsidRPr="00627352">
        <w:rPr>
          <w:sz w:val="20"/>
          <w:szCs w:val="20"/>
        </w:rPr>
        <w:t>level</w:t>
      </w:r>
      <w:proofErr w:type="spellEnd"/>
      <w:r w:rsidR="003D20E1" w:rsidRPr="00627352">
        <w:rPr>
          <w:sz w:val="20"/>
          <w:szCs w:val="20"/>
        </w:rPr>
        <w:t>; 201</w:t>
      </w:r>
      <w:r w:rsidRPr="00627352">
        <w:rPr>
          <w:sz w:val="20"/>
          <w:szCs w:val="20"/>
        </w:rPr>
        <w:t>9</w:t>
      </w:r>
      <w:r w:rsidR="003D20E1" w:rsidRPr="00627352">
        <w:rPr>
          <w:sz w:val="20"/>
          <w:szCs w:val="20"/>
        </w:rPr>
        <w:t>.</w:t>
      </w:r>
    </w:p>
    <w:p w14:paraId="0DB70099" w14:textId="7829F125" w:rsidR="003D20E1" w:rsidRPr="00627352" w:rsidRDefault="00000000" w:rsidP="003D20E1">
      <w:pPr>
        <w:pStyle w:val="BodyB"/>
        <w:jc w:val="both"/>
        <w:rPr>
          <w:sz w:val="20"/>
          <w:szCs w:val="20"/>
        </w:rPr>
      </w:pPr>
      <w:r w:rsidRPr="00627352">
        <w:rPr>
          <w:sz w:val="20"/>
          <w:szCs w:val="20"/>
        </w:rPr>
        <w:t xml:space="preserve"> </w:t>
      </w:r>
      <w:hyperlink r:id="rId11" w:history="1">
        <w:r w:rsidRPr="00627352">
          <w:rPr>
            <w:rStyle w:val="Hyperlink"/>
            <w:sz w:val="20"/>
            <w:szCs w:val="20"/>
          </w:rPr>
          <w:t>https://apps.who.int/iris/bitstream/handle/10665/312226/WHO-UHC-SDS-2019.6-eng.pdf?ua=1</w:t>
        </w:r>
      </w:hyperlink>
    </w:p>
    <w:p w14:paraId="741B3ACC" w14:textId="5A4B752D" w:rsidR="009C1AD9" w:rsidRDefault="00000000" w:rsidP="00627352">
      <w:pPr>
        <w:pStyle w:val="BodyB"/>
        <w:jc w:val="both"/>
      </w:pPr>
      <w:r>
        <w:t xml:space="preserve">  </w:t>
      </w:r>
      <w:r w:rsidR="00403EBB">
        <w:t xml:space="preserve"> </w:t>
      </w:r>
    </w:p>
    <w:p w14:paraId="4614E6A0" w14:textId="77777777" w:rsidR="0002245B" w:rsidRPr="003F6412" w:rsidRDefault="00000000" w:rsidP="003D20E1">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p w14:paraId="49E743FB" w14:textId="77777777" w:rsidR="00B14824" w:rsidRDefault="00000000" w:rsidP="003D20E1">
      <w:pPr>
        <w:pStyle w:val="BodyB"/>
        <w:jc w:val="both"/>
        <w:rPr>
          <w:sz w:val="20"/>
        </w:rPr>
      </w:pPr>
      <w:r>
        <w:rPr>
          <w:noProof/>
          <w:sz w:val="20"/>
        </w:rPr>
        <w:t>Raina Nikiforova</w:t>
      </w:r>
      <w:r>
        <w:rPr>
          <w:sz w:val="20"/>
        </w:rPr>
        <w:t xml:space="preserve"> </w:t>
      </w:r>
    </w:p>
    <w:p w14:paraId="53AB88D0" w14:textId="09E9FFDE" w:rsidR="00FC17C3" w:rsidRPr="009C1AD9" w:rsidRDefault="00000000" w:rsidP="003D20E1">
      <w:pPr>
        <w:pStyle w:val="BodyB"/>
        <w:jc w:val="both"/>
      </w:pPr>
      <w:r>
        <w:rPr>
          <w:noProof/>
          <w:sz w:val="20"/>
        </w:rPr>
        <w:t>raina.nikiforova@spkc.gov.lv</w:t>
      </w:r>
    </w:p>
    <w:sectPr w:rsidR="00FC17C3" w:rsidRPr="009C1AD9" w:rsidSect="00392839">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6CED0" w14:textId="77777777" w:rsidR="00392839" w:rsidRDefault="00392839">
      <w:r>
        <w:separator/>
      </w:r>
    </w:p>
  </w:endnote>
  <w:endnote w:type="continuationSeparator" w:id="0">
    <w:p w14:paraId="6C31FD9C" w14:textId="77777777" w:rsidR="00392839" w:rsidRDefault="0039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4B46" w14:textId="77777777" w:rsidR="009C1AD9" w:rsidRDefault="00000000" w:rsidP="009C1AD9">
    <w:pPr>
      <w:pStyle w:val="Footer"/>
      <w:jc w:val="center"/>
    </w:pPr>
    <w:r w:rsidRPr="001B3C4F">
      <w:t>DOKUMENTS PARAKSTĪTS ELEKTRONISKI AR DROŠU ELEKTRONISKO PARAKSTU</w:t>
    </w:r>
  </w:p>
  <w:p w14:paraId="4D099CDD" w14:textId="77777777" w:rsidR="009C1AD9" w:rsidRDefault="00000000" w:rsidP="009C1AD9">
    <w:pPr>
      <w:pStyle w:val="Footer"/>
      <w:jc w:val="center"/>
    </w:pPr>
    <w:r w:rsidRPr="001B3C4F">
      <w:t>UN SATUR LAIKA ZĪMOGU</w:t>
    </w:r>
  </w:p>
  <w:p w14:paraId="04D39B5D" w14:textId="77777777" w:rsidR="00472649" w:rsidRDefault="00000000" w:rsidP="009C1AD9">
    <w:pPr>
      <w:pStyle w:val="Footer"/>
      <w:jc w:val="cen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A4CB" w14:textId="77777777" w:rsidR="002E02C0" w:rsidRDefault="00000000" w:rsidP="002E02C0">
    <w:pPr>
      <w:pStyle w:val="Footer"/>
      <w:jc w:val="center"/>
    </w:pPr>
    <w:r w:rsidRPr="001B3C4F">
      <w:t>DOKUMENTS PARAKSTĪTS ELEKTRONISKI AR DROŠU ELEKTRONISKO PARAKSTU</w:t>
    </w:r>
  </w:p>
  <w:p w14:paraId="0B07C881" w14:textId="77777777" w:rsidR="002E02C0" w:rsidRDefault="00000000" w:rsidP="002E02C0">
    <w:pPr>
      <w:pStyle w:val="Footer"/>
      <w:jc w:val="center"/>
    </w:pPr>
    <w:r w:rsidRPr="001B3C4F">
      <w:t>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1D91" w14:textId="77777777" w:rsidR="00392839" w:rsidRDefault="00392839">
      <w:r>
        <w:separator/>
      </w:r>
    </w:p>
  </w:footnote>
  <w:footnote w:type="continuationSeparator" w:id="0">
    <w:p w14:paraId="4E2E8E73" w14:textId="77777777" w:rsidR="00392839" w:rsidRDefault="0039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27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776723"/>
    <w:multiLevelType w:val="hybridMultilevel"/>
    <w:tmpl w:val="75C4787A"/>
    <w:lvl w:ilvl="0" w:tplc="163C810E">
      <w:start w:val="1"/>
      <w:numFmt w:val="decimal"/>
      <w:lvlText w:val="%1."/>
      <w:lvlJc w:val="left"/>
      <w:pPr>
        <w:ind w:left="720" w:hanging="360"/>
      </w:pPr>
      <w:rPr>
        <w:rFonts w:hint="default"/>
      </w:rPr>
    </w:lvl>
    <w:lvl w:ilvl="1" w:tplc="92D45CE6">
      <w:start w:val="1"/>
      <w:numFmt w:val="lowerLetter"/>
      <w:lvlText w:val="%2."/>
      <w:lvlJc w:val="left"/>
      <w:pPr>
        <w:ind w:left="1440" w:hanging="360"/>
      </w:pPr>
    </w:lvl>
    <w:lvl w:ilvl="2" w:tplc="7A72C5F4" w:tentative="1">
      <w:start w:val="1"/>
      <w:numFmt w:val="lowerRoman"/>
      <w:lvlText w:val="%3."/>
      <w:lvlJc w:val="right"/>
      <w:pPr>
        <w:ind w:left="2160" w:hanging="180"/>
      </w:pPr>
    </w:lvl>
    <w:lvl w:ilvl="3" w:tplc="98BAC298" w:tentative="1">
      <w:start w:val="1"/>
      <w:numFmt w:val="decimal"/>
      <w:lvlText w:val="%4."/>
      <w:lvlJc w:val="left"/>
      <w:pPr>
        <w:ind w:left="2880" w:hanging="360"/>
      </w:pPr>
    </w:lvl>
    <w:lvl w:ilvl="4" w:tplc="E2FC9F42" w:tentative="1">
      <w:start w:val="1"/>
      <w:numFmt w:val="lowerLetter"/>
      <w:lvlText w:val="%5."/>
      <w:lvlJc w:val="left"/>
      <w:pPr>
        <w:ind w:left="3600" w:hanging="360"/>
      </w:pPr>
    </w:lvl>
    <w:lvl w:ilvl="5" w:tplc="5282CCAE" w:tentative="1">
      <w:start w:val="1"/>
      <w:numFmt w:val="lowerRoman"/>
      <w:lvlText w:val="%6."/>
      <w:lvlJc w:val="right"/>
      <w:pPr>
        <w:ind w:left="4320" w:hanging="180"/>
      </w:pPr>
    </w:lvl>
    <w:lvl w:ilvl="6" w:tplc="A64C59C4" w:tentative="1">
      <w:start w:val="1"/>
      <w:numFmt w:val="decimal"/>
      <w:lvlText w:val="%7."/>
      <w:lvlJc w:val="left"/>
      <w:pPr>
        <w:ind w:left="5040" w:hanging="360"/>
      </w:pPr>
    </w:lvl>
    <w:lvl w:ilvl="7" w:tplc="0E36A6CC" w:tentative="1">
      <w:start w:val="1"/>
      <w:numFmt w:val="lowerLetter"/>
      <w:lvlText w:val="%8."/>
      <w:lvlJc w:val="left"/>
      <w:pPr>
        <w:ind w:left="5760" w:hanging="360"/>
      </w:pPr>
    </w:lvl>
    <w:lvl w:ilvl="8" w:tplc="83DC2E8A" w:tentative="1">
      <w:start w:val="1"/>
      <w:numFmt w:val="lowerRoman"/>
      <w:lvlText w:val="%9."/>
      <w:lvlJc w:val="right"/>
      <w:pPr>
        <w:ind w:left="6480" w:hanging="180"/>
      </w:pPr>
    </w:lvl>
  </w:abstractNum>
  <w:abstractNum w:abstractNumId="2"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7ABE15A9"/>
    <w:multiLevelType w:val="hybridMultilevel"/>
    <w:tmpl w:val="75362C70"/>
    <w:lvl w:ilvl="0" w:tplc="B310E014">
      <w:numFmt w:val="bullet"/>
      <w:lvlText w:val="-"/>
      <w:lvlJc w:val="left"/>
      <w:pPr>
        <w:ind w:left="720" w:hanging="360"/>
      </w:pPr>
      <w:rPr>
        <w:rFonts w:ascii="Yu Mincho Light" w:eastAsia="Yu Mincho Light" w:hAnsi="Yu Mincho Light" w:hint="eastAsia"/>
      </w:rPr>
    </w:lvl>
    <w:lvl w:ilvl="1" w:tplc="239EC82E" w:tentative="1">
      <w:start w:val="1"/>
      <w:numFmt w:val="bullet"/>
      <w:lvlText w:val="o"/>
      <w:lvlJc w:val="left"/>
      <w:pPr>
        <w:ind w:left="1440" w:hanging="360"/>
      </w:pPr>
      <w:rPr>
        <w:rFonts w:ascii="Courier New" w:hAnsi="Courier New" w:cs="Courier New" w:hint="default"/>
      </w:rPr>
    </w:lvl>
    <w:lvl w:ilvl="2" w:tplc="25A0ED94" w:tentative="1">
      <w:start w:val="1"/>
      <w:numFmt w:val="bullet"/>
      <w:lvlText w:val=""/>
      <w:lvlJc w:val="left"/>
      <w:pPr>
        <w:ind w:left="2160" w:hanging="360"/>
      </w:pPr>
      <w:rPr>
        <w:rFonts w:ascii="Wingdings" w:hAnsi="Wingdings" w:hint="default"/>
      </w:rPr>
    </w:lvl>
    <w:lvl w:ilvl="3" w:tplc="FA0432F4" w:tentative="1">
      <w:start w:val="1"/>
      <w:numFmt w:val="bullet"/>
      <w:lvlText w:val=""/>
      <w:lvlJc w:val="left"/>
      <w:pPr>
        <w:ind w:left="2880" w:hanging="360"/>
      </w:pPr>
      <w:rPr>
        <w:rFonts w:ascii="Symbol" w:hAnsi="Symbol" w:hint="default"/>
      </w:rPr>
    </w:lvl>
    <w:lvl w:ilvl="4" w:tplc="16F4D846" w:tentative="1">
      <w:start w:val="1"/>
      <w:numFmt w:val="bullet"/>
      <w:lvlText w:val="o"/>
      <w:lvlJc w:val="left"/>
      <w:pPr>
        <w:ind w:left="3600" w:hanging="360"/>
      </w:pPr>
      <w:rPr>
        <w:rFonts w:ascii="Courier New" w:hAnsi="Courier New" w:cs="Courier New" w:hint="default"/>
      </w:rPr>
    </w:lvl>
    <w:lvl w:ilvl="5" w:tplc="B7F02258" w:tentative="1">
      <w:start w:val="1"/>
      <w:numFmt w:val="bullet"/>
      <w:lvlText w:val=""/>
      <w:lvlJc w:val="left"/>
      <w:pPr>
        <w:ind w:left="4320" w:hanging="360"/>
      </w:pPr>
      <w:rPr>
        <w:rFonts w:ascii="Wingdings" w:hAnsi="Wingdings" w:hint="default"/>
      </w:rPr>
    </w:lvl>
    <w:lvl w:ilvl="6" w:tplc="E8B288AC" w:tentative="1">
      <w:start w:val="1"/>
      <w:numFmt w:val="bullet"/>
      <w:lvlText w:val=""/>
      <w:lvlJc w:val="left"/>
      <w:pPr>
        <w:ind w:left="5040" w:hanging="360"/>
      </w:pPr>
      <w:rPr>
        <w:rFonts w:ascii="Symbol" w:hAnsi="Symbol" w:hint="default"/>
      </w:rPr>
    </w:lvl>
    <w:lvl w:ilvl="7" w:tplc="9A427AB4" w:tentative="1">
      <w:start w:val="1"/>
      <w:numFmt w:val="bullet"/>
      <w:lvlText w:val="o"/>
      <w:lvlJc w:val="left"/>
      <w:pPr>
        <w:ind w:left="5760" w:hanging="360"/>
      </w:pPr>
      <w:rPr>
        <w:rFonts w:ascii="Courier New" w:hAnsi="Courier New" w:cs="Courier New" w:hint="default"/>
      </w:rPr>
    </w:lvl>
    <w:lvl w:ilvl="8" w:tplc="AAA4E926" w:tentative="1">
      <w:start w:val="1"/>
      <w:numFmt w:val="bullet"/>
      <w:lvlText w:val=""/>
      <w:lvlJc w:val="left"/>
      <w:pPr>
        <w:ind w:left="6480" w:hanging="360"/>
      </w:pPr>
      <w:rPr>
        <w:rFonts w:ascii="Wingdings" w:hAnsi="Wingdings" w:hint="default"/>
      </w:rPr>
    </w:lvl>
  </w:abstractNum>
  <w:num w:numId="1" w16cid:durableId="110053135">
    <w:abstractNumId w:val="1"/>
  </w:num>
  <w:num w:numId="2" w16cid:durableId="95252391">
    <w:abstractNumId w:val="2"/>
  </w:num>
  <w:num w:numId="3" w16cid:durableId="80832014">
    <w:abstractNumId w:val="0"/>
  </w:num>
  <w:num w:numId="4" w16cid:durableId="1651516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C1"/>
    <w:rsid w:val="0002245B"/>
    <w:rsid w:val="00041C9F"/>
    <w:rsid w:val="00060BB1"/>
    <w:rsid w:val="00154B6E"/>
    <w:rsid w:val="001A3020"/>
    <w:rsid w:val="001B3C4F"/>
    <w:rsid w:val="0020502F"/>
    <w:rsid w:val="00237C47"/>
    <w:rsid w:val="00247E9C"/>
    <w:rsid w:val="002E02C0"/>
    <w:rsid w:val="00376EF5"/>
    <w:rsid w:val="0038270C"/>
    <w:rsid w:val="00392839"/>
    <w:rsid w:val="003A0D09"/>
    <w:rsid w:val="003B25C1"/>
    <w:rsid w:val="003B63FB"/>
    <w:rsid w:val="003D20E1"/>
    <w:rsid w:val="003F2940"/>
    <w:rsid w:val="003F6412"/>
    <w:rsid w:val="00403EBB"/>
    <w:rsid w:val="004568DF"/>
    <w:rsid w:val="00456D43"/>
    <w:rsid w:val="00460383"/>
    <w:rsid w:val="00472649"/>
    <w:rsid w:val="004D5BEB"/>
    <w:rsid w:val="005611A3"/>
    <w:rsid w:val="00587CC8"/>
    <w:rsid w:val="005B1FEE"/>
    <w:rsid w:val="005C1DE2"/>
    <w:rsid w:val="005D3381"/>
    <w:rsid w:val="00627352"/>
    <w:rsid w:val="006D3FD6"/>
    <w:rsid w:val="006E1251"/>
    <w:rsid w:val="007E2164"/>
    <w:rsid w:val="00893003"/>
    <w:rsid w:val="008974D7"/>
    <w:rsid w:val="008B6D06"/>
    <w:rsid w:val="008B742D"/>
    <w:rsid w:val="0091568D"/>
    <w:rsid w:val="0094267D"/>
    <w:rsid w:val="00987215"/>
    <w:rsid w:val="00994AA3"/>
    <w:rsid w:val="009C1AD9"/>
    <w:rsid w:val="009E26F3"/>
    <w:rsid w:val="00A23AAC"/>
    <w:rsid w:val="00A24A6B"/>
    <w:rsid w:val="00A46416"/>
    <w:rsid w:val="00A91007"/>
    <w:rsid w:val="00B00DEC"/>
    <w:rsid w:val="00B14824"/>
    <w:rsid w:val="00B16961"/>
    <w:rsid w:val="00B76951"/>
    <w:rsid w:val="00B86B76"/>
    <w:rsid w:val="00C30975"/>
    <w:rsid w:val="00CA27BF"/>
    <w:rsid w:val="00D51E44"/>
    <w:rsid w:val="00D63491"/>
    <w:rsid w:val="00DC0153"/>
    <w:rsid w:val="00DC1881"/>
    <w:rsid w:val="00DD342F"/>
    <w:rsid w:val="00E10BEB"/>
    <w:rsid w:val="00E267C0"/>
    <w:rsid w:val="00E402D8"/>
    <w:rsid w:val="00EB3F1C"/>
    <w:rsid w:val="00EC6B3B"/>
    <w:rsid w:val="00EE4551"/>
    <w:rsid w:val="00F14672"/>
    <w:rsid w:val="00F44453"/>
    <w:rsid w:val="00F8531D"/>
    <w:rsid w:val="00FC17C3"/>
    <w:rsid w:val="00FD7F36"/>
    <w:rsid w:val="60C098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7C06"/>
  <w15:docId w15:val="{6CC21A28-37F8-4964-8582-919A7B3A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2649"/>
    <w:pPr>
      <w:tabs>
        <w:tab w:val="center" w:pos="4153"/>
        <w:tab w:val="right" w:pos="8306"/>
      </w:tabs>
    </w:pPr>
  </w:style>
  <w:style w:type="character" w:customStyle="1" w:styleId="FooterChar">
    <w:name w:val="Footer Char"/>
    <w:link w:val="Footer"/>
    <w:uiPriority w:val="99"/>
    <w:rsid w:val="00472649"/>
    <w:rPr>
      <w:rFonts w:eastAsia="Times New Roman"/>
      <w:lang w:eastAsia="en-US"/>
    </w:rPr>
  </w:style>
  <w:style w:type="paragraph" w:customStyle="1" w:styleId="BodyB">
    <w:name w:val="Body B"/>
    <w:rsid w:val="005D3381"/>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403EBB"/>
    <w:rPr>
      <w:color w:val="0563C1" w:themeColor="hyperlink"/>
      <w:u w:val="single"/>
    </w:rPr>
  </w:style>
  <w:style w:type="character" w:styleId="UnresolvedMention">
    <w:name w:val="Unresolved Mention"/>
    <w:basedOn w:val="DefaultParagraphFont"/>
    <w:uiPriority w:val="99"/>
    <w:semiHidden/>
    <w:unhideWhenUsed/>
    <w:rsid w:val="00403EBB"/>
    <w:rPr>
      <w:color w:val="605E5C"/>
      <w:shd w:val="clear" w:color="auto" w:fill="E1DFDD"/>
    </w:rPr>
  </w:style>
  <w:style w:type="paragraph" w:styleId="FootnoteText">
    <w:name w:val="footnote text"/>
    <w:basedOn w:val="Normal"/>
    <w:link w:val="FootnoteTextChar"/>
    <w:uiPriority w:val="99"/>
    <w:semiHidden/>
    <w:unhideWhenUsed/>
    <w:rsid w:val="003D20E1"/>
  </w:style>
  <w:style w:type="character" w:customStyle="1" w:styleId="FootnoteTextChar">
    <w:name w:val="Footnote Text Char"/>
    <w:basedOn w:val="DefaultParagraphFont"/>
    <w:link w:val="FootnoteText"/>
    <w:uiPriority w:val="99"/>
    <w:semiHidden/>
    <w:rsid w:val="003D20E1"/>
    <w:rPr>
      <w:rFonts w:eastAsia="Times New Roman"/>
      <w:lang w:eastAsia="en-US"/>
    </w:rPr>
  </w:style>
  <w:style w:type="character" w:styleId="FootnoteReference">
    <w:name w:val="footnote reference"/>
    <w:basedOn w:val="DefaultParagraphFont"/>
    <w:uiPriority w:val="99"/>
    <w:semiHidden/>
    <w:unhideWhenUsed/>
    <w:rsid w:val="003D2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686856/pdf/13756_2017_Article_25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bitstream/handle/10665/312226/WHO-UHC-SDS-2019.6-eng.pdf?u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who.int/iris/bitstream/handle/10665/259462/9789241550178-eng.pdf;jsessionid=78C00A4F9C756ED36D7E739495464F50?sequence=1" TargetMode="External"/><Relationship Id="rId4" Type="http://schemas.openxmlformats.org/officeDocument/2006/relationships/settings" Target="settings.xml"/><Relationship Id="rId9" Type="http://schemas.openxmlformats.org/officeDocument/2006/relationships/hyperlink" Target="https://www.ecdc.europa.eu/sites/default/files/documents/carbapenem-resistant-enterobacteriaceae-risk-assessment-rev-2.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pavlovica\Desktop\NAMEJS_DOKI\Rikojums.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4C53-6E62-4A89-80EE-8CF58546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Rikojums</Template>
  <TotalTime>1</TotalTime>
  <Pages>7</Pages>
  <Words>15417</Words>
  <Characters>8788</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2016-02-15T06:53:00Z</cp:lastPrinted>
  <dcterms:created xsi:type="dcterms:W3CDTF">2024-04-03T12:03:00Z</dcterms:created>
  <dcterms:modified xsi:type="dcterms:W3CDTF">2024-04-03T12:03:00Z</dcterms:modified>
</cp:coreProperties>
</file>