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60E80" w14:textId="77777777" w:rsidR="00A24A6B" w:rsidRPr="00D5053F" w:rsidRDefault="00000000" w:rsidP="003E7BBE">
      <w:pPr>
        <w:spacing w:before="360"/>
        <w:jc w:val="center"/>
        <w:rPr>
          <w:sz w:val="17"/>
          <w:szCs w:val="17"/>
        </w:rPr>
      </w:pPr>
      <w:r>
        <w:rPr>
          <w:noProof/>
          <w:lang w:eastAsia="lv-LV"/>
        </w:rPr>
        <w:drawing>
          <wp:anchor distT="0" distB="0" distL="114300" distR="114300" simplePos="0" relativeHeight="251660288" behindDoc="1" locked="0" layoutInCell="1" allowOverlap="1" wp14:anchorId="77302E02" wp14:editId="0E61F5F8">
            <wp:simplePos x="0" y="0"/>
            <wp:positionH relativeFrom="page">
              <wp:posOffset>1191260</wp:posOffset>
            </wp:positionH>
            <wp:positionV relativeFrom="page">
              <wp:posOffset>737870</wp:posOffset>
            </wp:positionV>
            <wp:extent cx="5668645" cy="1032510"/>
            <wp:effectExtent l="0" t="0" r="0" b="0"/>
            <wp:wrapSquare wrapText="bothSides"/>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68645" cy="1032510"/>
                    </a:xfrm>
                    <a:prstGeom prst="rect">
                      <a:avLst/>
                    </a:prstGeom>
                    <a:noFill/>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g">
            <w:drawing>
              <wp:anchor distT="0" distB="0" distL="114300" distR="114300" simplePos="0" relativeHeight="251658240" behindDoc="1" locked="0" layoutInCell="1" allowOverlap="1" wp14:anchorId="5F25ECA8" wp14:editId="4CF4C066">
                <wp:simplePos x="0" y="0"/>
                <wp:positionH relativeFrom="page">
                  <wp:posOffset>1850390</wp:posOffset>
                </wp:positionH>
                <wp:positionV relativeFrom="page">
                  <wp:posOffset>1911350</wp:posOffset>
                </wp:positionV>
                <wp:extent cx="4397375" cy="1270"/>
                <wp:effectExtent l="0" t="0" r="3175"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56B6546F" id="Group 41" o:spid="_x0000_s1026" style="position:absolute;margin-left:145.7pt;margin-top:150.5pt;width:346.25pt;height:.1pt;z-index:-251658240;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r w:rsidRPr="00D5053F">
        <w:rPr>
          <w:color w:val="231F20"/>
          <w:sz w:val="17"/>
          <w:szCs w:val="17"/>
        </w:rPr>
        <w:t xml:space="preserve">Duntes iela 22, </w:t>
      </w:r>
      <w:r w:rsidR="0055269A">
        <w:rPr>
          <w:color w:val="231F20"/>
          <w:sz w:val="17"/>
          <w:szCs w:val="17"/>
        </w:rPr>
        <w:t xml:space="preserve">K-5, </w:t>
      </w:r>
      <w:r w:rsidRPr="00D5053F">
        <w:rPr>
          <w:color w:val="231F20"/>
          <w:sz w:val="17"/>
          <w:szCs w:val="17"/>
        </w:rPr>
        <w:t xml:space="preserve">Rīga, LV-1005, tālr. 67501590, fakss 67501591, e-pasts </w:t>
      </w:r>
      <w:r w:rsidR="0055269A">
        <w:rPr>
          <w:color w:val="231F20"/>
          <w:sz w:val="17"/>
          <w:szCs w:val="17"/>
        </w:rPr>
        <w:t>pasts</w:t>
      </w:r>
      <w:r w:rsidRPr="00D5053F">
        <w:rPr>
          <w:color w:val="231F20"/>
          <w:sz w:val="17"/>
          <w:szCs w:val="17"/>
        </w:rPr>
        <w:t>@spkc.gov.lv</w:t>
      </w:r>
    </w:p>
    <w:p w14:paraId="5AD72455" w14:textId="77777777" w:rsidR="00E46A48" w:rsidRDefault="00000000" w:rsidP="00E46A48">
      <w:pPr>
        <w:pStyle w:val="Header"/>
        <w:tabs>
          <w:tab w:val="clear" w:pos="4320"/>
        </w:tabs>
        <w:spacing w:before="480" w:after="480"/>
        <w:jc w:val="center"/>
        <w:rPr>
          <w:rFonts w:ascii="Times New Roman" w:hAnsi="Times New Roman"/>
          <w:noProof/>
        </w:rPr>
      </w:pPr>
      <w:r w:rsidRPr="001F3DE1">
        <w:rPr>
          <w:rFonts w:ascii="Times New Roman" w:hAnsi="Times New Roman"/>
          <w:noProof/>
        </w:rPr>
        <w:t>Rīgā</w:t>
      </w:r>
      <w:r>
        <w:rPr>
          <w:rFonts w:ascii="Times New Roman" w:hAnsi="Times New Roman"/>
          <w:noProof/>
        </w:rPr>
        <w:t xml:space="preserve"> </w:t>
      </w:r>
    </w:p>
    <w:tbl>
      <w:tblPr>
        <w:tblW w:w="0" w:type="auto"/>
        <w:tblLook w:val="04A0" w:firstRow="1" w:lastRow="0" w:firstColumn="1" w:lastColumn="0" w:noHBand="0" w:noVBand="1"/>
      </w:tblPr>
      <w:tblGrid>
        <w:gridCol w:w="5424"/>
        <w:gridCol w:w="3647"/>
      </w:tblGrid>
      <w:tr w:rsidR="00A80D88" w14:paraId="455F2203" w14:textId="77777777" w:rsidTr="00C5711F">
        <w:trPr>
          <w:trHeight w:val="313"/>
        </w:trPr>
        <w:tc>
          <w:tcPr>
            <w:tcW w:w="5495" w:type="dxa"/>
            <w:shd w:val="clear" w:color="auto" w:fill="auto"/>
          </w:tcPr>
          <w:p w14:paraId="0A99B6EF" w14:textId="77777777" w:rsidR="00222B8B" w:rsidRDefault="00000000" w:rsidP="00222B8B">
            <w:pPr>
              <w:tabs>
                <w:tab w:val="left" w:pos="0"/>
                <w:tab w:val="left" w:pos="7371"/>
              </w:tabs>
              <w:rPr>
                <w:sz w:val="24"/>
                <w:szCs w:val="24"/>
              </w:rPr>
            </w:pPr>
            <w:r>
              <w:rPr>
                <w:noProof/>
              </w:rPr>
              <w:t>Datums skatāms laika zīmogā</w:t>
            </w:r>
            <w:r>
              <w:rPr>
                <w:sz w:val="24"/>
                <w:szCs w:val="24"/>
              </w:rPr>
              <w:t xml:space="preserve">. </w:t>
            </w:r>
            <w:r w:rsidRPr="00CB2202">
              <w:rPr>
                <w:sz w:val="24"/>
                <w:szCs w:val="24"/>
              </w:rPr>
              <w:t>Nr.</w:t>
            </w:r>
            <w:r>
              <w:rPr>
                <w:sz w:val="24"/>
                <w:szCs w:val="24"/>
              </w:rPr>
              <w:t xml:space="preserve"> </w:t>
            </w:r>
            <w:r>
              <w:rPr>
                <w:noProof/>
                <w:sz w:val="24"/>
                <w:szCs w:val="24"/>
              </w:rPr>
              <w:t>1-8.2/2024/630</w:t>
            </w:r>
          </w:p>
          <w:p w14:paraId="460BB16F" w14:textId="77777777" w:rsidR="002079F2" w:rsidRPr="00CB2202" w:rsidRDefault="002079F2" w:rsidP="00222B8B">
            <w:pPr>
              <w:tabs>
                <w:tab w:val="left" w:pos="0"/>
                <w:tab w:val="left" w:pos="7371"/>
              </w:tabs>
              <w:rPr>
                <w:sz w:val="24"/>
                <w:szCs w:val="24"/>
              </w:rPr>
            </w:pPr>
          </w:p>
        </w:tc>
        <w:tc>
          <w:tcPr>
            <w:tcW w:w="3685" w:type="dxa"/>
            <w:shd w:val="clear" w:color="auto" w:fill="auto"/>
          </w:tcPr>
          <w:p w14:paraId="49A2DB85" w14:textId="77777777" w:rsidR="00983CC3" w:rsidRDefault="00000000" w:rsidP="00222B8B">
            <w:pPr>
              <w:tabs>
                <w:tab w:val="left" w:pos="0"/>
                <w:tab w:val="left" w:pos="7371"/>
              </w:tabs>
              <w:rPr>
                <w:noProof/>
                <w:sz w:val="24"/>
                <w:szCs w:val="24"/>
              </w:rPr>
            </w:pPr>
            <w:r>
              <w:rPr>
                <w:noProof/>
                <w:sz w:val="24"/>
                <w:szCs w:val="24"/>
              </w:rPr>
              <w:t>Pēc pievienotā saraksta</w:t>
            </w:r>
          </w:p>
          <w:p w14:paraId="07CC6240" w14:textId="77777777" w:rsidR="00AF1294" w:rsidRDefault="00000000" w:rsidP="00983CC3">
            <w:pPr>
              <w:tabs>
                <w:tab w:val="left" w:pos="0"/>
                <w:tab w:val="left" w:pos="7371"/>
              </w:tabs>
              <w:rPr>
                <w:noProof/>
                <w:sz w:val="24"/>
                <w:szCs w:val="24"/>
              </w:rPr>
            </w:pPr>
            <w:r>
              <w:rPr>
                <w:noProof/>
                <w:sz w:val="24"/>
                <w:szCs w:val="24"/>
              </w:rPr>
              <w:t>(slimnīcām, laboratorijām,</w:t>
            </w:r>
          </w:p>
          <w:p w14:paraId="46E1D810" w14:textId="77777777" w:rsidR="00AF1294" w:rsidRDefault="00000000" w:rsidP="00222B8B">
            <w:pPr>
              <w:tabs>
                <w:tab w:val="left" w:pos="0"/>
                <w:tab w:val="left" w:pos="7371"/>
              </w:tabs>
              <w:rPr>
                <w:noProof/>
                <w:sz w:val="24"/>
                <w:szCs w:val="24"/>
              </w:rPr>
            </w:pPr>
            <w:r>
              <w:rPr>
                <w:noProof/>
                <w:sz w:val="24"/>
                <w:szCs w:val="24"/>
              </w:rPr>
              <w:t>ārstu asociācijām)</w:t>
            </w:r>
          </w:p>
          <w:p w14:paraId="612ABB19" w14:textId="77777777" w:rsidR="00AF1294" w:rsidRDefault="00AF1294" w:rsidP="00222B8B">
            <w:pPr>
              <w:tabs>
                <w:tab w:val="left" w:pos="0"/>
                <w:tab w:val="left" w:pos="7371"/>
              </w:tabs>
              <w:rPr>
                <w:noProof/>
                <w:sz w:val="24"/>
                <w:szCs w:val="24"/>
              </w:rPr>
            </w:pPr>
          </w:p>
          <w:p w14:paraId="3F588D64" w14:textId="77777777" w:rsidR="00983CC3" w:rsidRDefault="00000000" w:rsidP="00983CC3">
            <w:pPr>
              <w:tabs>
                <w:tab w:val="left" w:pos="0"/>
                <w:tab w:val="left" w:pos="7371"/>
              </w:tabs>
              <w:rPr>
                <w:noProof/>
                <w:sz w:val="24"/>
                <w:szCs w:val="24"/>
              </w:rPr>
            </w:pPr>
            <w:r>
              <w:rPr>
                <w:noProof/>
                <w:sz w:val="24"/>
                <w:szCs w:val="24"/>
              </w:rPr>
              <w:t>Informācijai:</w:t>
            </w:r>
            <w:r w:rsidR="00F62F9C">
              <w:rPr>
                <w:noProof/>
                <w:sz w:val="24"/>
                <w:szCs w:val="24"/>
              </w:rPr>
              <w:t xml:space="preserve"> Veselības ministrija</w:t>
            </w:r>
          </w:p>
          <w:p w14:paraId="433510F7" w14:textId="77777777" w:rsidR="002079F2" w:rsidRDefault="00000000" w:rsidP="00983CC3">
            <w:pPr>
              <w:tabs>
                <w:tab w:val="left" w:pos="0"/>
                <w:tab w:val="left" w:pos="7371"/>
              </w:tabs>
              <w:rPr>
                <w:noProof/>
                <w:sz w:val="24"/>
                <w:szCs w:val="24"/>
              </w:rPr>
            </w:pPr>
            <w:r>
              <w:rPr>
                <w:noProof/>
                <w:sz w:val="24"/>
                <w:szCs w:val="24"/>
              </w:rPr>
              <w:t>Nacionālais veselības dienests Veselības inspekcij</w:t>
            </w:r>
            <w:r w:rsidR="00983CC3">
              <w:rPr>
                <w:noProof/>
                <w:sz w:val="24"/>
                <w:szCs w:val="24"/>
              </w:rPr>
              <w:t>a</w:t>
            </w:r>
          </w:p>
          <w:p w14:paraId="65D8B330" w14:textId="77777777" w:rsidR="00BA104F" w:rsidRDefault="00000000" w:rsidP="00BA104F">
            <w:pPr>
              <w:tabs>
                <w:tab w:val="left" w:pos="0"/>
                <w:tab w:val="left" w:pos="7371"/>
              </w:tabs>
              <w:rPr>
                <w:noProof/>
                <w:sz w:val="24"/>
                <w:szCs w:val="24"/>
              </w:rPr>
            </w:pPr>
            <w:r>
              <w:rPr>
                <w:noProof/>
                <w:sz w:val="24"/>
                <w:szCs w:val="24"/>
              </w:rPr>
              <w:t>Neatliekamās medicīniskās palīdzības dienests</w:t>
            </w:r>
          </w:p>
        </w:tc>
      </w:tr>
    </w:tbl>
    <w:p w14:paraId="6DA8A44E" w14:textId="77777777" w:rsidR="002079F2" w:rsidRPr="00195A3A" w:rsidRDefault="00000000" w:rsidP="002079F2">
      <w:pPr>
        <w:pStyle w:val="Header"/>
        <w:tabs>
          <w:tab w:val="clear" w:pos="4320"/>
          <w:tab w:val="clear" w:pos="8640"/>
        </w:tabs>
        <w:spacing w:before="480" w:after="480"/>
        <w:ind w:right="4535"/>
        <w:jc w:val="both"/>
        <w:rPr>
          <w:rFonts w:ascii="Times New Roman" w:hAnsi="Times New Roman"/>
          <w:b/>
          <w:i/>
          <w:noProof/>
        </w:rPr>
      </w:pPr>
      <w:r>
        <w:rPr>
          <w:rFonts w:ascii="Times New Roman" w:hAnsi="Times New Roman"/>
          <w:b/>
          <w:i/>
          <w:noProof/>
        </w:rPr>
        <w:t>Par hipervirulento Klebsiella pneumoniae un tās rezisetnci pret antibiotikām</w:t>
      </w:r>
    </w:p>
    <w:p w14:paraId="79B42EA8" w14:textId="77777777" w:rsidR="00F62F9C" w:rsidRPr="00F62F9C" w:rsidRDefault="00000000" w:rsidP="00F62F9C">
      <w:pPr>
        <w:tabs>
          <w:tab w:val="left" w:pos="1134"/>
        </w:tabs>
        <w:ind w:firstLine="720"/>
        <w:jc w:val="both"/>
        <w:rPr>
          <w:noProof/>
          <w:sz w:val="24"/>
          <w:szCs w:val="24"/>
          <w:lang w:eastAsia="lv-LV"/>
        </w:rPr>
      </w:pPr>
      <w:r w:rsidRPr="00F62F9C">
        <w:rPr>
          <w:noProof/>
          <w:sz w:val="24"/>
          <w:szCs w:val="24"/>
          <w:lang w:eastAsia="lv-LV"/>
        </w:rPr>
        <w:t xml:space="preserve">Slimību profilakses un kontroles centrs (turpmāk </w:t>
      </w:r>
      <w:bookmarkStart w:id="0" w:name="_Hlk162511317"/>
      <w:r w:rsidRPr="00F62F9C">
        <w:rPr>
          <w:noProof/>
          <w:sz w:val="24"/>
          <w:szCs w:val="24"/>
          <w:lang w:eastAsia="lv-LV"/>
        </w:rPr>
        <w:t xml:space="preserve">– </w:t>
      </w:r>
      <w:bookmarkEnd w:id="0"/>
      <w:r w:rsidRPr="00F62F9C">
        <w:rPr>
          <w:noProof/>
          <w:sz w:val="24"/>
          <w:szCs w:val="24"/>
          <w:lang w:eastAsia="lv-LV"/>
        </w:rPr>
        <w:t xml:space="preserve">Centrs) informē par epidemioloģiski nozīmīgu hipervirulentu </w:t>
      </w:r>
      <w:r w:rsidRPr="00AF1294">
        <w:rPr>
          <w:i/>
          <w:iCs/>
          <w:noProof/>
          <w:sz w:val="24"/>
          <w:szCs w:val="24"/>
          <w:lang w:eastAsia="lv-LV"/>
        </w:rPr>
        <w:t>Klebsiella pneumoniae</w:t>
      </w:r>
      <w:r w:rsidRPr="00F62F9C">
        <w:rPr>
          <w:noProof/>
          <w:sz w:val="24"/>
          <w:szCs w:val="24"/>
          <w:lang w:eastAsia="lv-LV"/>
        </w:rPr>
        <w:t xml:space="preserve"> </w:t>
      </w:r>
      <w:r w:rsidR="0009728E">
        <w:rPr>
          <w:noProof/>
          <w:sz w:val="24"/>
          <w:szCs w:val="24"/>
          <w:lang w:eastAsia="lv-LV"/>
        </w:rPr>
        <w:t xml:space="preserve">(turpmāk </w:t>
      </w:r>
      <w:r w:rsidR="0009728E" w:rsidRPr="0009728E">
        <w:rPr>
          <w:noProof/>
          <w:sz w:val="24"/>
          <w:szCs w:val="24"/>
          <w:lang w:eastAsia="lv-LV"/>
        </w:rPr>
        <w:t xml:space="preserve">– </w:t>
      </w:r>
      <w:bookmarkStart w:id="1" w:name="_Hlk162513003"/>
      <w:r w:rsidR="0009728E" w:rsidRPr="0009728E">
        <w:rPr>
          <w:noProof/>
          <w:sz w:val="24"/>
          <w:szCs w:val="24"/>
          <w:lang w:eastAsia="lv-LV"/>
        </w:rPr>
        <w:t>hvKp</w:t>
      </w:r>
      <w:bookmarkEnd w:id="1"/>
      <w:r w:rsidR="0009728E" w:rsidRPr="0009728E">
        <w:rPr>
          <w:noProof/>
          <w:sz w:val="24"/>
          <w:szCs w:val="24"/>
          <w:lang w:eastAsia="lv-LV"/>
        </w:rPr>
        <w:t>)</w:t>
      </w:r>
      <w:r w:rsidR="0009728E">
        <w:rPr>
          <w:noProof/>
          <w:sz w:val="24"/>
          <w:szCs w:val="24"/>
          <w:lang w:eastAsia="lv-LV"/>
        </w:rPr>
        <w:t xml:space="preserve">  </w:t>
      </w:r>
      <w:r w:rsidRPr="00F62F9C">
        <w:rPr>
          <w:noProof/>
          <w:sz w:val="24"/>
          <w:szCs w:val="24"/>
          <w:lang w:eastAsia="lv-LV"/>
        </w:rPr>
        <w:t>baktēriju izplatību pasaulē</w:t>
      </w:r>
      <w:r w:rsidR="001513FF">
        <w:rPr>
          <w:noProof/>
          <w:sz w:val="24"/>
          <w:szCs w:val="24"/>
          <w:lang w:eastAsia="lv-LV"/>
        </w:rPr>
        <w:t>, tostarp arī</w:t>
      </w:r>
      <w:r w:rsidRPr="00F62F9C">
        <w:rPr>
          <w:noProof/>
          <w:sz w:val="24"/>
          <w:szCs w:val="24"/>
          <w:lang w:eastAsia="lv-LV"/>
        </w:rPr>
        <w:t xml:space="preserve"> Eiropas valstīs</w:t>
      </w:r>
      <w:r w:rsidR="00B97419">
        <w:rPr>
          <w:noProof/>
          <w:sz w:val="24"/>
          <w:szCs w:val="24"/>
          <w:lang w:eastAsia="lv-LV"/>
        </w:rPr>
        <w:t xml:space="preserve">, </w:t>
      </w:r>
      <w:r w:rsidR="00B97419" w:rsidRPr="60C09880">
        <w:rPr>
          <w:noProof/>
          <w:sz w:val="24"/>
          <w:szCs w:val="24"/>
          <w:lang w:eastAsia="lv-LV"/>
        </w:rPr>
        <w:t xml:space="preserve">pamatojoties uz </w:t>
      </w:r>
      <w:r w:rsidR="00B97419" w:rsidRPr="00F62F9C">
        <w:rPr>
          <w:noProof/>
          <w:sz w:val="24"/>
          <w:szCs w:val="24"/>
          <w:lang w:eastAsia="lv-LV"/>
        </w:rPr>
        <w:t>Eiropas slimību profilakses un kontroles centra (turpmāk – ECDC) riska novērtējuma ziņojumu</w:t>
      </w:r>
      <w:r>
        <w:rPr>
          <w:rStyle w:val="FootnoteReference"/>
          <w:noProof/>
          <w:sz w:val="24"/>
          <w:szCs w:val="24"/>
          <w:lang w:eastAsia="lv-LV"/>
        </w:rPr>
        <w:footnoteReference w:id="1"/>
      </w:r>
      <w:r w:rsidR="00B97419">
        <w:rPr>
          <w:noProof/>
          <w:sz w:val="24"/>
          <w:szCs w:val="24"/>
          <w:lang w:eastAsia="lv-LV"/>
        </w:rPr>
        <w:t>.</w:t>
      </w:r>
      <w:r w:rsidRPr="00F62F9C">
        <w:rPr>
          <w:noProof/>
          <w:sz w:val="24"/>
          <w:szCs w:val="24"/>
          <w:lang w:eastAsia="lv-LV"/>
        </w:rPr>
        <w:t xml:space="preserve"> </w:t>
      </w:r>
    </w:p>
    <w:p w14:paraId="106ED9A5" w14:textId="77777777" w:rsidR="00B97419" w:rsidRDefault="00000000" w:rsidP="00792897">
      <w:pPr>
        <w:tabs>
          <w:tab w:val="left" w:pos="1134"/>
        </w:tabs>
        <w:ind w:firstLine="720"/>
        <w:jc w:val="both"/>
        <w:rPr>
          <w:noProof/>
          <w:sz w:val="24"/>
          <w:szCs w:val="24"/>
          <w:lang w:eastAsia="lv-LV"/>
        </w:rPr>
      </w:pPr>
      <w:r w:rsidRPr="60C09880">
        <w:rPr>
          <w:noProof/>
          <w:sz w:val="24"/>
          <w:szCs w:val="24"/>
          <w:lang w:eastAsia="lv-LV"/>
        </w:rPr>
        <w:t xml:space="preserve">Epidemioloģiskās uzraudzības dati liecina, ka kopš 2021. gada palielinājies to Eiropas Savienības (ES)/Eiropas Ekonomikas zonas (EEZ) valstu skaits, kuras ziņo par </w:t>
      </w:r>
      <w:r w:rsidR="00792897" w:rsidRPr="00792897">
        <w:rPr>
          <w:i/>
          <w:iCs/>
          <w:noProof/>
          <w:sz w:val="24"/>
          <w:szCs w:val="24"/>
          <w:lang w:eastAsia="lv-LV"/>
        </w:rPr>
        <w:t xml:space="preserve">hvKp </w:t>
      </w:r>
      <w:r w:rsidRPr="60C09880">
        <w:rPr>
          <w:noProof/>
          <w:sz w:val="24"/>
          <w:szCs w:val="24"/>
          <w:lang w:eastAsia="lv-LV"/>
        </w:rPr>
        <w:t xml:space="preserve">celmu (sekvences tipu) ST23 noteikšanu: kopā desmit valstīs reģistrēti 143 gadījumi, savukārt līdz 2021. gadam četras valstis ziņoja par 12 gadījumiem. Turklāt ir pierādījumi, ka </w:t>
      </w:r>
      <w:r w:rsidR="00792897" w:rsidRPr="00792897">
        <w:rPr>
          <w:noProof/>
          <w:sz w:val="24"/>
          <w:szCs w:val="24"/>
          <w:lang w:eastAsia="lv-LV"/>
        </w:rPr>
        <w:t xml:space="preserve">hvKp </w:t>
      </w:r>
      <w:r w:rsidRPr="60C09880">
        <w:rPr>
          <w:noProof/>
          <w:sz w:val="24"/>
          <w:szCs w:val="24"/>
          <w:lang w:eastAsia="lv-LV"/>
        </w:rPr>
        <w:t xml:space="preserve">globāli dominējošais celms ST23-K1, kas satur karbapenemāzes gēnus, jau piecu gadu laikā turpina izplatīties veselības aprūpes iestādēs Īrijā, neskatoties uz pastiprinātiem </w:t>
      </w:r>
      <w:r w:rsidR="00C42A73">
        <w:rPr>
          <w:noProof/>
          <w:sz w:val="24"/>
          <w:szCs w:val="24"/>
          <w:lang w:eastAsia="lv-LV"/>
        </w:rPr>
        <w:t xml:space="preserve">infekcijas </w:t>
      </w:r>
      <w:r w:rsidRPr="60C09880">
        <w:rPr>
          <w:noProof/>
          <w:sz w:val="24"/>
          <w:szCs w:val="24"/>
          <w:lang w:eastAsia="lv-LV"/>
        </w:rPr>
        <w:t>kontroles pasākumiem</w:t>
      </w:r>
      <w:r w:rsidR="00792897">
        <w:rPr>
          <w:noProof/>
          <w:sz w:val="24"/>
          <w:szCs w:val="24"/>
          <w:lang w:eastAsia="lv-LV"/>
        </w:rPr>
        <w:t>.</w:t>
      </w:r>
      <w:r w:rsidR="00792897" w:rsidRPr="00792897">
        <w:rPr>
          <w:noProof/>
          <w:sz w:val="24"/>
          <w:szCs w:val="24"/>
          <w:lang w:eastAsia="lv-LV"/>
        </w:rPr>
        <w:t xml:space="preserve"> hvKp </w:t>
      </w:r>
      <w:r w:rsidR="00792897" w:rsidRPr="00F62F9C">
        <w:rPr>
          <w:noProof/>
          <w:sz w:val="24"/>
          <w:szCs w:val="24"/>
          <w:lang w:eastAsia="lv-LV"/>
        </w:rPr>
        <w:t>ST23-K1 tika konstatēta arī Francijā, Latvijā un Lietuvā</w:t>
      </w:r>
      <w:r w:rsidR="00792897">
        <w:rPr>
          <w:noProof/>
          <w:sz w:val="24"/>
          <w:szCs w:val="24"/>
          <w:lang w:eastAsia="lv-LV"/>
        </w:rPr>
        <w:t>,</w:t>
      </w:r>
      <w:r w:rsidR="00792897" w:rsidRPr="00F62F9C">
        <w:rPr>
          <w:noProof/>
          <w:sz w:val="24"/>
          <w:szCs w:val="24"/>
          <w:lang w:eastAsia="lv-LV"/>
        </w:rPr>
        <w:t xml:space="preserve"> </w:t>
      </w:r>
      <w:r w:rsidR="00792897">
        <w:rPr>
          <w:noProof/>
          <w:sz w:val="24"/>
          <w:szCs w:val="24"/>
          <w:lang w:eastAsia="lv-LV"/>
        </w:rPr>
        <w:t>t</w:t>
      </w:r>
      <w:r w:rsidR="00792897" w:rsidRPr="00F62F9C">
        <w:rPr>
          <w:noProof/>
          <w:sz w:val="24"/>
          <w:szCs w:val="24"/>
          <w:lang w:eastAsia="lv-LV"/>
        </w:rPr>
        <w:t xml:space="preserve">omēr epidemioloģiskie dati līdz šim neliecina par tās plašāku </w:t>
      </w:r>
      <w:r w:rsidR="00792897">
        <w:rPr>
          <w:noProof/>
          <w:sz w:val="24"/>
          <w:szCs w:val="24"/>
          <w:lang w:eastAsia="lv-LV"/>
        </w:rPr>
        <w:t>izplatīšanos</w:t>
      </w:r>
      <w:r w:rsidR="00792897" w:rsidRPr="00F62F9C">
        <w:rPr>
          <w:noProof/>
          <w:sz w:val="24"/>
          <w:szCs w:val="24"/>
          <w:lang w:eastAsia="lv-LV"/>
        </w:rPr>
        <w:t xml:space="preserve"> šajās valstīs.</w:t>
      </w:r>
    </w:p>
    <w:p w14:paraId="07A0571A" w14:textId="77777777" w:rsidR="00C42A73" w:rsidRDefault="00000000" w:rsidP="00F62F9C">
      <w:pPr>
        <w:tabs>
          <w:tab w:val="left" w:pos="1134"/>
        </w:tabs>
        <w:ind w:firstLine="720"/>
        <w:jc w:val="both"/>
        <w:rPr>
          <w:noProof/>
          <w:sz w:val="24"/>
          <w:szCs w:val="24"/>
          <w:lang w:eastAsia="lv-LV"/>
        </w:rPr>
      </w:pPr>
      <w:r w:rsidRPr="00F62F9C">
        <w:rPr>
          <w:noProof/>
          <w:sz w:val="24"/>
          <w:szCs w:val="24"/>
          <w:lang w:eastAsia="lv-LV"/>
        </w:rPr>
        <w:t xml:space="preserve">Bažas rada tas, ka parādās </w:t>
      </w:r>
      <w:r w:rsidR="00792897" w:rsidRPr="00792897">
        <w:rPr>
          <w:noProof/>
          <w:sz w:val="24"/>
          <w:szCs w:val="24"/>
          <w:lang w:eastAsia="lv-LV"/>
        </w:rPr>
        <w:t xml:space="preserve">hvKp </w:t>
      </w:r>
      <w:r w:rsidRPr="00F62F9C">
        <w:rPr>
          <w:noProof/>
          <w:sz w:val="24"/>
          <w:szCs w:val="24"/>
          <w:lang w:eastAsia="lv-LV"/>
        </w:rPr>
        <w:t>celmi, kuriem ir rezistence pret pēdējās rindas antibiotikām, piemēram, karbapenēmiem, un atšķirībā no “klasiskaj</w:t>
      </w:r>
      <w:r w:rsidR="001513FF">
        <w:rPr>
          <w:noProof/>
          <w:sz w:val="24"/>
          <w:szCs w:val="24"/>
          <w:lang w:eastAsia="lv-LV"/>
        </w:rPr>
        <w:t>iem</w:t>
      </w:r>
      <w:r w:rsidRPr="00F62F9C">
        <w:rPr>
          <w:noProof/>
          <w:sz w:val="24"/>
          <w:szCs w:val="24"/>
          <w:lang w:eastAsia="lv-LV"/>
        </w:rPr>
        <w:t xml:space="preserve">” </w:t>
      </w:r>
      <w:r w:rsidRPr="001513FF">
        <w:rPr>
          <w:i/>
          <w:iCs/>
          <w:noProof/>
          <w:sz w:val="24"/>
          <w:szCs w:val="24"/>
          <w:lang w:eastAsia="lv-LV"/>
        </w:rPr>
        <w:t>K. pneumoniae</w:t>
      </w:r>
      <w:r w:rsidRPr="00F62F9C">
        <w:rPr>
          <w:noProof/>
          <w:sz w:val="24"/>
          <w:szCs w:val="24"/>
          <w:lang w:eastAsia="lv-LV"/>
        </w:rPr>
        <w:t xml:space="preserve"> </w:t>
      </w:r>
      <w:r w:rsidR="001513FF">
        <w:rPr>
          <w:noProof/>
          <w:sz w:val="24"/>
          <w:szCs w:val="24"/>
          <w:lang w:eastAsia="lv-LV"/>
        </w:rPr>
        <w:t xml:space="preserve">celmiem </w:t>
      </w:r>
      <w:r w:rsidRPr="00F62F9C">
        <w:rPr>
          <w:noProof/>
          <w:sz w:val="24"/>
          <w:szCs w:val="24"/>
          <w:lang w:eastAsia="lv-LV"/>
        </w:rPr>
        <w:t>tie var izraisīt smagas infekcijas parasti veseliem indivīdiem un</w:t>
      </w:r>
      <w:r w:rsidR="001513FF">
        <w:rPr>
          <w:noProof/>
          <w:sz w:val="24"/>
          <w:szCs w:val="24"/>
          <w:lang w:eastAsia="lv-LV"/>
        </w:rPr>
        <w:t xml:space="preserve"> </w:t>
      </w:r>
      <w:r w:rsidRPr="00F62F9C">
        <w:rPr>
          <w:noProof/>
          <w:sz w:val="24"/>
          <w:szCs w:val="24"/>
          <w:lang w:eastAsia="lv-LV"/>
        </w:rPr>
        <w:t xml:space="preserve">sarežģījumus, </w:t>
      </w:r>
      <w:r w:rsidR="001513FF">
        <w:rPr>
          <w:noProof/>
          <w:sz w:val="24"/>
          <w:szCs w:val="24"/>
          <w:lang w:eastAsia="lv-LV"/>
        </w:rPr>
        <w:t>savairojoties</w:t>
      </w:r>
      <w:r w:rsidRPr="00F62F9C">
        <w:rPr>
          <w:noProof/>
          <w:sz w:val="24"/>
          <w:szCs w:val="24"/>
          <w:lang w:eastAsia="lv-LV"/>
        </w:rPr>
        <w:t xml:space="preserve"> dažādās ķermeņa vietās. </w:t>
      </w:r>
    </w:p>
    <w:p w14:paraId="2D3A30DA" w14:textId="77777777" w:rsidR="00F62F9C" w:rsidRPr="00F62F9C" w:rsidRDefault="00000000" w:rsidP="00F62F9C">
      <w:pPr>
        <w:tabs>
          <w:tab w:val="left" w:pos="1134"/>
        </w:tabs>
        <w:ind w:firstLine="720"/>
        <w:jc w:val="both"/>
        <w:rPr>
          <w:noProof/>
          <w:sz w:val="24"/>
          <w:szCs w:val="24"/>
          <w:lang w:eastAsia="lv-LV"/>
        </w:rPr>
      </w:pPr>
      <w:r w:rsidRPr="00F62F9C">
        <w:rPr>
          <w:noProof/>
          <w:sz w:val="24"/>
          <w:szCs w:val="24"/>
          <w:lang w:eastAsia="lv-LV"/>
        </w:rPr>
        <w:t xml:space="preserve">Iepriekš </w:t>
      </w:r>
      <w:r w:rsidR="00792897" w:rsidRPr="00792897">
        <w:rPr>
          <w:noProof/>
          <w:sz w:val="24"/>
          <w:szCs w:val="24"/>
          <w:lang w:eastAsia="lv-LV"/>
        </w:rPr>
        <w:t xml:space="preserve">hvKp </w:t>
      </w:r>
      <w:r w:rsidRPr="00F62F9C">
        <w:rPr>
          <w:noProof/>
          <w:sz w:val="24"/>
          <w:szCs w:val="24"/>
          <w:lang w:eastAsia="lv-LV"/>
        </w:rPr>
        <w:t xml:space="preserve">celmi galvenokārt tika atrasti Āzijā, kuri tika iegūti sabiedrībā un tikai reti bija rezistenti pret antibiotikām. Tomēr jaunākie ziņojumi norāda uz pieaugošo </w:t>
      </w:r>
      <w:r w:rsidR="00C42A73" w:rsidRPr="00792897">
        <w:rPr>
          <w:noProof/>
          <w:sz w:val="24"/>
          <w:szCs w:val="24"/>
          <w:lang w:eastAsia="lv-LV"/>
        </w:rPr>
        <w:t xml:space="preserve">hvKp </w:t>
      </w:r>
      <w:r w:rsidRPr="00F62F9C">
        <w:rPr>
          <w:noProof/>
          <w:sz w:val="24"/>
          <w:szCs w:val="24"/>
          <w:lang w:eastAsia="lv-LV"/>
        </w:rPr>
        <w:t xml:space="preserve">ģeogrāfisko izplatību, to saistību ar veselības aprūpes pakalpojumiem un rezistenci pret vairākām zālēm. Pastāv iespēja, ka </w:t>
      </w:r>
      <w:r w:rsidR="00792897" w:rsidRPr="00792897">
        <w:rPr>
          <w:noProof/>
          <w:sz w:val="24"/>
          <w:szCs w:val="24"/>
          <w:lang w:eastAsia="lv-LV"/>
        </w:rPr>
        <w:t xml:space="preserve">hvKp </w:t>
      </w:r>
      <w:r w:rsidRPr="00F62F9C">
        <w:rPr>
          <w:noProof/>
          <w:sz w:val="24"/>
          <w:szCs w:val="24"/>
          <w:lang w:eastAsia="lv-LV"/>
        </w:rPr>
        <w:t xml:space="preserve">celms kombinācijā ar antimikrobiālo rezistenci var izraisīt potenciāli neārstējamu infekciju pat iepriekš veseliem cilvēkiem. Ja veselības aprūpes iestādēs izplatīsies pret karbapenēmu rezistenti hvKp celmi un ietekmēs neaizsargātu pacientu grupas, ir sagaidāma vēl lielāka saslimstība un mirstība. </w:t>
      </w:r>
    </w:p>
    <w:p w14:paraId="2C70DBB6" w14:textId="77777777" w:rsidR="00F62F9C" w:rsidRPr="00F62F9C" w:rsidRDefault="00000000" w:rsidP="00F62F9C">
      <w:pPr>
        <w:tabs>
          <w:tab w:val="left" w:pos="1134"/>
        </w:tabs>
        <w:ind w:firstLine="720"/>
        <w:jc w:val="both"/>
        <w:rPr>
          <w:noProof/>
          <w:sz w:val="24"/>
          <w:szCs w:val="24"/>
          <w:lang w:eastAsia="lv-LV"/>
        </w:rPr>
      </w:pPr>
      <w:r w:rsidRPr="00F62F9C">
        <w:rPr>
          <w:noProof/>
          <w:sz w:val="24"/>
          <w:szCs w:val="24"/>
          <w:lang w:eastAsia="lv-LV"/>
        </w:rPr>
        <w:lastRenderedPageBreak/>
        <w:t>ECDC ziņojumā norādīts, ka jau ir apstiprināta ilgstoša hvKp</w:t>
      </w:r>
      <w:r w:rsidR="00792897">
        <w:rPr>
          <w:noProof/>
          <w:sz w:val="24"/>
          <w:szCs w:val="24"/>
          <w:lang w:eastAsia="lv-LV"/>
        </w:rPr>
        <w:t xml:space="preserve"> </w:t>
      </w:r>
      <w:r w:rsidRPr="00F62F9C">
        <w:rPr>
          <w:noProof/>
          <w:sz w:val="24"/>
          <w:szCs w:val="24"/>
          <w:lang w:eastAsia="lv-LV"/>
        </w:rPr>
        <w:t xml:space="preserve">ST23, kas satur karbapenemāzes gēnus, </w:t>
      </w:r>
      <w:r w:rsidR="001513FF">
        <w:rPr>
          <w:noProof/>
          <w:sz w:val="24"/>
          <w:szCs w:val="24"/>
          <w:lang w:eastAsia="lv-LV"/>
        </w:rPr>
        <w:t xml:space="preserve">cirkulācija un </w:t>
      </w:r>
      <w:r w:rsidRPr="00F62F9C">
        <w:rPr>
          <w:noProof/>
          <w:sz w:val="24"/>
          <w:szCs w:val="24"/>
          <w:lang w:eastAsia="lv-LV"/>
        </w:rPr>
        <w:t xml:space="preserve">pārnešana starp veselības aprūpes iestādēm ES/EEZ valstīs. Tāpēc pašlaik tiek uzskatīts, ka hvKp, kas satur karbapenemāzes gēnus, turpmākā izplatīšanās veselības aprūpes iestādēs ES/EEZ valstīs būtiski ietekmēs saslimstību un mirstību. </w:t>
      </w:r>
    </w:p>
    <w:p w14:paraId="00A997A8" w14:textId="77777777" w:rsidR="00F62F9C" w:rsidRPr="00F62F9C" w:rsidRDefault="00000000" w:rsidP="00F62F9C">
      <w:pPr>
        <w:tabs>
          <w:tab w:val="left" w:pos="1134"/>
        </w:tabs>
        <w:ind w:firstLine="720"/>
        <w:jc w:val="both"/>
        <w:rPr>
          <w:noProof/>
          <w:sz w:val="24"/>
          <w:szCs w:val="24"/>
          <w:lang w:eastAsia="lv-LV"/>
        </w:rPr>
      </w:pPr>
      <w:r w:rsidRPr="00F62F9C">
        <w:rPr>
          <w:noProof/>
          <w:sz w:val="24"/>
          <w:szCs w:val="24"/>
          <w:lang w:eastAsia="lv-LV"/>
        </w:rPr>
        <w:t xml:space="preserve">Laikposmā no 2018. līdz 2023. gadam desmit  ES/EEZ valstu nacionālās references laboratorijas iesniedza ziņas par hvKp 23-K1 celmiem, kas pārnēsā karbapenemāzes gēnus blaNDM-1 (2022. gada 26. oktobrī) vai blaKPC-2 (2023. gada 21. septembris), pilna genoma sekvencēšanas un epidemioloģiskos datus par 131 izolātu, kas saistīti ar infekciju vai nēsāšanu: Dānija (n=4 izolāti), Somija (n=1), Francija (n=13), Ungārija (n=1), Īrija (n=87), Itālija (n=2), Latvija (n=9), Lietuva (n=8), Nīderlande (n=4) un Norvēģija (n=2). </w:t>
      </w:r>
    </w:p>
    <w:p w14:paraId="052BC6E6" w14:textId="77777777" w:rsidR="00F62F9C" w:rsidRPr="00F62F9C" w:rsidRDefault="00000000" w:rsidP="00F62F9C">
      <w:pPr>
        <w:tabs>
          <w:tab w:val="left" w:pos="1134"/>
        </w:tabs>
        <w:ind w:firstLine="720"/>
        <w:jc w:val="both"/>
        <w:rPr>
          <w:noProof/>
          <w:sz w:val="24"/>
          <w:szCs w:val="24"/>
          <w:lang w:eastAsia="lv-LV"/>
        </w:rPr>
      </w:pPr>
      <w:r w:rsidRPr="00F62F9C">
        <w:rPr>
          <w:noProof/>
          <w:sz w:val="24"/>
          <w:szCs w:val="24"/>
          <w:lang w:eastAsia="lv-LV"/>
        </w:rPr>
        <w:t>Ir svarīgi laikus atklāt</w:t>
      </w:r>
      <w:r w:rsidR="001513FF">
        <w:rPr>
          <w:noProof/>
          <w:sz w:val="24"/>
          <w:szCs w:val="24"/>
          <w:lang w:eastAsia="lv-LV"/>
        </w:rPr>
        <w:t xml:space="preserve"> pacientiem</w:t>
      </w:r>
      <w:r w:rsidRPr="00F62F9C">
        <w:rPr>
          <w:noProof/>
          <w:sz w:val="24"/>
          <w:szCs w:val="24"/>
          <w:lang w:eastAsia="lv-LV"/>
        </w:rPr>
        <w:t xml:space="preserve"> </w:t>
      </w:r>
      <w:r w:rsidR="00792897" w:rsidRPr="00792897">
        <w:rPr>
          <w:noProof/>
          <w:sz w:val="24"/>
          <w:szCs w:val="24"/>
          <w:lang w:eastAsia="lv-LV"/>
        </w:rPr>
        <w:t xml:space="preserve">hvKp </w:t>
      </w:r>
      <w:r w:rsidRPr="00F62F9C">
        <w:rPr>
          <w:noProof/>
          <w:sz w:val="24"/>
          <w:szCs w:val="24"/>
          <w:lang w:eastAsia="lv-LV"/>
        </w:rPr>
        <w:t xml:space="preserve">un novērst turpmāku tās izplatīšanos veselības aprūpes iestādēs, lai izvairītos no bīstamā ar veselības aprūpi saistīta karbapenemāzi producējoša patogēna izveidošanās. </w:t>
      </w:r>
    </w:p>
    <w:p w14:paraId="7B7A283D" w14:textId="77777777" w:rsidR="00F62F9C" w:rsidRDefault="00000000" w:rsidP="00F62F9C">
      <w:pPr>
        <w:tabs>
          <w:tab w:val="left" w:pos="1134"/>
        </w:tabs>
        <w:ind w:firstLine="720"/>
        <w:jc w:val="both"/>
        <w:rPr>
          <w:noProof/>
          <w:sz w:val="24"/>
          <w:szCs w:val="24"/>
          <w:lang w:eastAsia="lv-LV"/>
        </w:rPr>
      </w:pPr>
      <w:r w:rsidRPr="00F62F9C">
        <w:rPr>
          <w:noProof/>
          <w:sz w:val="24"/>
          <w:szCs w:val="24"/>
          <w:lang w:eastAsia="lv-LV"/>
        </w:rPr>
        <w:t>ECDC rekomendē reaģēšanas pasākumus, kas ietver</w:t>
      </w:r>
      <w:r w:rsidR="00BA104F">
        <w:rPr>
          <w:noProof/>
          <w:sz w:val="24"/>
          <w:szCs w:val="24"/>
          <w:lang w:eastAsia="lv-LV"/>
        </w:rPr>
        <w:t>:</w:t>
      </w:r>
      <w:r w:rsidRPr="00F62F9C">
        <w:rPr>
          <w:noProof/>
          <w:sz w:val="24"/>
          <w:szCs w:val="24"/>
          <w:lang w:eastAsia="lv-LV"/>
        </w:rPr>
        <w:t xml:space="preserve"> brīdinājumus klīnicistiem un klīniskās mikrobioloģijas laboratorijām, pietiekamas laboratorijas kapacitātes izveidošanu, lai noteiktu hvKp izolātus, tostarp pilna genoma sekvencēšanu, visu iespējamo hvKp izolātu ar papildu pretmikrobu rezistenci vai bez tās iesniegšana naconālās references laboratorijām un pastiprināt infekciju kontroles un profilakses pasākumus veselības aprūpes iestādēs. Tiek rekomendēta turpmākā datu vākšana par hvKp izolātiem, tostarp epidemioloģiskie un klīniskie dati par infekcijas gadījumiem, nēsāšanas un citiem saistītiem riska faktoriem, lai uzlabotu izpratni par izplatības un pārnešanas ceļiem un noteiktu nepieciešamos uzraudzības un kontroles pasākumus.</w:t>
      </w:r>
    </w:p>
    <w:p w14:paraId="1866AAD3" w14:textId="77777777" w:rsidR="00BA104F" w:rsidRPr="00F62F9C" w:rsidRDefault="00BA104F" w:rsidP="00F62F9C">
      <w:pPr>
        <w:tabs>
          <w:tab w:val="left" w:pos="1134"/>
        </w:tabs>
        <w:ind w:firstLine="720"/>
        <w:jc w:val="both"/>
        <w:rPr>
          <w:noProof/>
          <w:sz w:val="24"/>
          <w:szCs w:val="24"/>
          <w:lang w:eastAsia="lv-LV"/>
        </w:rPr>
      </w:pPr>
    </w:p>
    <w:p w14:paraId="35B42237" w14:textId="77777777" w:rsidR="002079F2" w:rsidRPr="007906BB" w:rsidRDefault="00000000" w:rsidP="00F62F9C">
      <w:pPr>
        <w:tabs>
          <w:tab w:val="left" w:pos="1134"/>
        </w:tabs>
        <w:ind w:firstLine="720"/>
        <w:jc w:val="both"/>
        <w:rPr>
          <w:sz w:val="24"/>
          <w:szCs w:val="24"/>
        </w:rPr>
      </w:pPr>
      <w:r w:rsidRPr="00F62F9C">
        <w:rPr>
          <w:noProof/>
          <w:sz w:val="24"/>
          <w:szCs w:val="24"/>
          <w:lang w:eastAsia="lv-LV"/>
        </w:rPr>
        <w:t>Pielikumā:</w:t>
      </w:r>
      <w:r w:rsidR="00C42A73">
        <w:rPr>
          <w:noProof/>
          <w:sz w:val="24"/>
          <w:szCs w:val="24"/>
          <w:lang w:eastAsia="lv-LV"/>
        </w:rPr>
        <w:t xml:space="preserve"> informatīvais materiāls</w:t>
      </w:r>
      <w:r w:rsidRPr="00F62F9C">
        <w:rPr>
          <w:noProof/>
          <w:sz w:val="24"/>
          <w:szCs w:val="24"/>
          <w:lang w:eastAsia="lv-LV"/>
        </w:rPr>
        <w:t xml:space="preserve"> </w:t>
      </w:r>
      <w:r w:rsidR="00C42A73">
        <w:rPr>
          <w:noProof/>
          <w:sz w:val="24"/>
          <w:szCs w:val="24"/>
          <w:lang w:eastAsia="lv-LV"/>
        </w:rPr>
        <w:t>“</w:t>
      </w:r>
      <w:r w:rsidRPr="00F62F9C">
        <w:rPr>
          <w:noProof/>
          <w:sz w:val="24"/>
          <w:szCs w:val="24"/>
          <w:lang w:eastAsia="lv-LV"/>
        </w:rPr>
        <w:t xml:space="preserve">Hipervirulentā </w:t>
      </w:r>
      <w:r w:rsidRPr="00AF1294">
        <w:rPr>
          <w:i/>
          <w:iCs/>
          <w:noProof/>
          <w:sz w:val="24"/>
          <w:szCs w:val="24"/>
          <w:lang w:eastAsia="lv-LV"/>
        </w:rPr>
        <w:t xml:space="preserve">Klebsiella pneumoniae </w:t>
      </w:r>
      <w:r w:rsidRPr="00F62F9C">
        <w:rPr>
          <w:noProof/>
          <w:sz w:val="24"/>
          <w:szCs w:val="24"/>
          <w:lang w:eastAsia="lv-LV"/>
        </w:rPr>
        <w:t>(</w:t>
      </w:r>
      <w:r w:rsidR="007A461D">
        <w:rPr>
          <w:noProof/>
          <w:sz w:val="24"/>
          <w:szCs w:val="24"/>
          <w:lang w:eastAsia="lv-LV"/>
        </w:rPr>
        <w:t>h</w:t>
      </w:r>
      <w:r w:rsidRPr="00F62F9C">
        <w:rPr>
          <w:noProof/>
          <w:sz w:val="24"/>
          <w:szCs w:val="24"/>
          <w:lang w:eastAsia="lv-LV"/>
        </w:rPr>
        <w:t>vKp)</w:t>
      </w:r>
      <w:r w:rsidR="007A461D">
        <w:rPr>
          <w:noProof/>
          <w:sz w:val="24"/>
          <w:szCs w:val="24"/>
          <w:lang w:eastAsia="lv-LV"/>
        </w:rPr>
        <w:t>.</w:t>
      </w:r>
      <w:r w:rsidRPr="00F62F9C">
        <w:rPr>
          <w:noProof/>
          <w:sz w:val="24"/>
          <w:szCs w:val="24"/>
          <w:lang w:eastAsia="lv-LV"/>
        </w:rPr>
        <w:t xml:space="preserve"> Izplatība pasaulē, infekcijas klīniskais raksturojums, transmisijas ceļi, rezistence, laboratoriska testēšana, riski un profilakse</w:t>
      </w:r>
      <w:r w:rsidR="00C42A73">
        <w:rPr>
          <w:noProof/>
          <w:sz w:val="24"/>
          <w:szCs w:val="24"/>
          <w:lang w:eastAsia="lv-LV"/>
        </w:rPr>
        <w:t>”</w:t>
      </w:r>
      <w:r>
        <w:rPr>
          <w:noProof/>
          <w:sz w:val="24"/>
          <w:szCs w:val="24"/>
          <w:lang w:eastAsia="lv-LV"/>
        </w:rPr>
        <w:t>.</w:t>
      </w:r>
    </w:p>
    <w:p w14:paraId="5A916F58" w14:textId="77777777" w:rsidR="00477923" w:rsidRPr="003F6412" w:rsidRDefault="00000000" w:rsidP="00477923">
      <w:pPr>
        <w:tabs>
          <w:tab w:val="left" w:pos="6521"/>
        </w:tabs>
        <w:spacing w:before="480" w:after="480"/>
        <w:jc w:val="both"/>
        <w:rPr>
          <w:sz w:val="24"/>
          <w:szCs w:val="24"/>
        </w:rPr>
      </w:pPr>
      <w:r w:rsidRPr="003F6412">
        <w:rPr>
          <w:sz w:val="24"/>
          <w:szCs w:val="24"/>
        </w:rPr>
        <w:t>Direktore</w:t>
      </w:r>
      <w:r w:rsidRPr="003F6412">
        <w:rPr>
          <w:sz w:val="24"/>
          <w:szCs w:val="24"/>
        </w:rPr>
        <w:tab/>
      </w:r>
      <w:r w:rsidRPr="003F6412">
        <w:rPr>
          <w:noProof/>
          <w:sz w:val="24"/>
          <w:szCs w:val="24"/>
          <w:lang w:eastAsia="lv-LV"/>
        </w:rPr>
        <w:t>Iveta Gavare</w:t>
      </w:r>
    </w:p>
    <w:p w14:paraId="18697B3B" w14:textId="77777777" w:rsidR="002079F2" w:rsidRDefault="00000000" w:rsidP="002079F2">
      <w:pPr>
        <w:pStyle w:val="BodyB"/>
        <w:rPr>
          <w:sz w:val="20"/>
        </w:rPr>
      </w:pPr>
      <w:r>
        <w:rPr>
          <w:noProof/>
          <w:sz w:val="20"/>
        </w:rPr>
        <w:t>Raina Nikiforova</w:t>
      </w:r>
      <w:r>
        <w:rPr>
          <w:sz w:val="20"/>
        </w:rPr>
        <w:t xml:space="preserve"> </w:t>
      </w:r>
    </w:p>
    <w:p w14:paraId="21A94E5E" w14:textId="77777777" w:rsidR="00A91007" w:rsidRPr="00A91007" w:rsidRDefault="00000000" w:rsidP="00477923">
      <w:pPr>
        <w:pStyle w:val="BodyB"/>
      </w:pPr>
      <w:r>
        <w:rPr>
          <w:noProof/>
          <w:sz w:val="20"/>
        </w:rPr>
        <w:t>raina.nikiforova@spkc.gov.lv</w:t>
      </w:r>
    </w:p>
    <w:sectPr w:rsidR="00A91007" w:rsidRPr="00A91007" w:rsidSect="00370AAF">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6B319" w14:textId="77777777" w:rsidR="00370AAF" w:rsidRDefault="00370AAF">
      <w:r>
        <w:separator/>
      </w:r>
    </w:p>
  </w:endnote>
  <w:endnote w:type="continuationSeparator" w:id="0">
    <w:p w14:paraId="3FB21086" w14:textId="77777777" w:rsidR="00370AAF" w:rsidRDefault="0037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F2C67" w14:textId="77777777" w:rsidR="00F84E4B" w:rsidRDefault="00000000" w:rsidP="00F84E4B">
    <w:pPr>
      <w:pStyle w:val="Footer"/>
      <w:jc w:val="center"/>
    </w:pPr>
    <w:r w:rsidRPr="001B3C4F">
      <w:t>DOKUMENTS PARAKSTĪTS ELEKTRONISKI AR DROŠU ELEKTRONISKO PARAKSTU</w:t>
    </w:r>
  </w:p>
  <w:p w14:paraId="28B74BDA" w14:textId="77777777" w:rsidR="00CD015F" w:rsidRDefault="00000000" w:rsidP="00F84E4B">
    <w:pPr>
      <w:pStyle w:val="Footer"/>
      <w:jc w:val="center"/>
    </w:pPr>
    <w:r w:rsidRPr="001B3C4F">
      <w:t xml:space="preserve">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DE2E9" w14:textId="77777777" w:rsidR="00370AAF" w:rsidRDefault="00370AAF">
      <w:r>
        <w:separator/>
      </w:r>
    </w:p>
  </w:footnote>
  <w:footnote w:type="continuationSeparator" w:id="0">
    <w:p w14:paraId="44740A89" w14:textId="77777777" w:rsidR="00370AAF" w:rsidRDefault="00370AAF">
      <w:r>
        <w:continuationSeparator/>
      </w:r>
    </w:p>
  </w:footnote>
  <w:footnote w:id="1">
    <w:p w14:paraId="1F7EB7BC" w14:textId="77777777" w:rsidR="00B97419" w:rsidRPr="00B97419" w:rsidRDefault="00000000">
      <w:pPr>
        <w:pStyle w:val="FootnoteText"/>
        <w:rPr>
          <w:lang w:val="en-US"/>
        </w:rPr>
      </w:pPr>
      <w:r>
        <w:rPr>
          <w:rStyle w:val="FootnoteReference"/>
        </w:rPr>
        <w:footnoteRef/>
      </w:r>
      <w:r>
        <w:t xml:space="preserve"> </w:t>
      </w:r>
      <w:hyperlink r:id="rId1" w:history="1">
        <w:r w:rsidRPr="00BA104F">
          <w:rPr>
            <w:rStyle w:val="Hyperlink"/>
            <w:sz w:val="16"/>
            <w:szCs w:val="16"/>
          </w:rPr>
          <w:t>https://www.ecdc.europa.eu/en/publications-data/risk-assessment-emergence-hypervirulent-klebsiella-pneumoniae-eu-eea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776723"/>
    <w:multiLevelType w:val="hybridMultilevel"/>
    <w:tmpl w:val="75C4787A"/>
    <w:lvl w:ilvl="0" w:tplc="ADBA4D8C">
      <w:start w:val="1"/>
      <w:numFmt w:val="decimal"/>
      <w:lvlText w:val="%1."/>
      <w:lvlJc w:val="left"/>
      <w:pPr>
        <w:ind w:left="720" w:hanging="360"/>
      </w:pPr>
      <w:rPr>
        <w:rFonts w:hint="default"/>
      </w:rPr>
    </w:lvl>
    <w:lvl w:ilvl="1" w:tplc="6AB2C810">
      <w:start w:val="1"/>
      <w:numFmt w:val="lowerLetter"/>
      <w:lvlText w:val="%2."/>
      <w:lvlJc w:val="left"/>
      <w:pPr>
        <w:ind w:left="1440" w:hanging="360"/>
      </w:pPr>
    </w:lvl>
    <w:lvl w:ilvl="2" w:tplc="B96E2F76" w:tentative="1">
      <w:start w:val="1"/>
      <w:numFmt w:val="lowerRoman"/>
      <w:lvlText w:val="%3."/>
      <w:lvlJc w:val="right"/>
      <w:pPr>
        <w:ind w:left="2160" w:hanging="180"/>
      </w:pPr>
    </w:lvl>
    <w:lvl w:ilvl="3" w:tplc="497CA4F4" w:tentative="1">
      <w:start w:val="1"/>
      <w:numFmt w:val="decimal"/>
      <w:lvlText w:val="%4."/>
      <w:lvlJc w:val="left"/>
      <w:pPr>
        <w:ind w:left="2880" w:hanging="360"/>
      </w:pPr>
    </w:lvl>
    <w:lvl w:ilvl="4" w:tplc="A1500DD8" w:tentative="1">
      <w:start w:val="1"/>
      <w:numFmt w:val="lowerLetter"/>
      <w:lvlText w:val="%5."/>
      <w:lvlJc w:val="left"/>
      <w:pPr>
        <w:ind w:left="3600" w:hanging="360"/>
      </w:pPr>
    </w:lvl>
    <w:lvl w:ilvl="5" w:tplc="7AD0F1D0" w:tentative="1">
      <w:start w:val="1"/>
      <w:numFmt w:val="lowerRoman"/>
      <w:lvlText w:val="%6."/>
      <w:lvlJc w:val="right"/>
      <w:pPr>
        <w:ind w:left="4320" w:hanging="180"/>
      </w:pPr>
    </w:lvl>
    <w:lvl w:ilvl="6" w:tplc="731099E4" w:tentative="1">
      <w:start w:val="1"/>
      <w:numFmt w:val="decimal"/>
      <w:lvlText w:val="%7."/>
      <w:lvlJc w:val="left"/>
      <w:pPr>
        <w:ind w:left="5040" w:hanging="360"/>
      </w:pPr>
    </w:lvl>
    <w:lvl w:ilvl="7" w:tplc="63EAA292" w:tentative="1">
      <w:start w:val="1"/>
      <w:numFmt w:val="lowerLetter"/>
      <w:lvlText w:val="%8."/>
      <w:lvlJc w:val="left"/>
      <w:pPr>
        <w:ind w:left="5760" w:hanging="360"/>
      </w:pPr>
    </w:lvl>
    <w:lvl w:ilvl="8" w:tplc="5DC02C18" w:tentative="1">
      <w:start w:val="1"/>
      <w:numFmt w:val="lowerRoman"/>
      <w:lvlText w:val="%9."/>
      <w:lvlJc w:val="right"/>
      <w:pPr>
        <w:ind w:left="6480" w:hanging="180"/>
      </w:pPr>
    </w:lvl>
  </w:abstractNum>
  <w:abstractNum w:abstractNumId="1" w15:restartNumberingAfterBreak="0">
    <w:nsid w:val="78FE6A46"/>
    <w:multiLevelType w:val="multilevel"/>
    <w:tmpl w:val="8C2AC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275337802">
    <w:abstractNumId w:val="0"/>
  </w:num>
  <w:num w:numId="2" w16cid:durableId="13141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CC"/>
    <w:rsid w:val="00020179"/>
    <w:rsid w:val="0009728E"/>
    <w:rsid w:val="000D65D1"/>
    <w:rsid w:val="00102468"/>
    <w:rsid w:val="00112C48"/>
    <w:rsid w:val="001513FF"/>
    <w:rsid w:val="00154B6E"/>
    <w:rsid w:val="00195A3A"/>
    <w:rsid w:val="001963C5"/>
    <w:rsid w:val="001B3C4F"/>
    <w:rsid w:val="001F3DE1"/>
    <w:rsid w:val="002079F2"/>
    <w:rsid w:val="00222B8B"/>
    <w:rsid w:val="00237C47"/>
    <w:rsid w:val="00247E9C"/>
    <w:rsid w:val="00280BAC"/>
    <w:rsid w:val="00370AAF"/>
    <w:rsid w:val="00376EF5"/>
    <w:rsid w:val="00386264"/>
    <w:rsid w:val="003A5E2C"/>
    <w:rsid w:val="003E7BBE"/>
    <w:rsid w:val="003F2940"/>
    <w:rsid w:val="003F6412"/>
    <w:rsid w:val="00415D28"/>
    <w:rsid w:val="00443D6E"/>
    <w:rsid w:val="004568DF"/>
    <w:rsid w:val="00456D43"/>
    <w:rsid w:val="00477923"/>
    <w:rsid w:val="00480BD0"/>
    <w:rsid w:val="004A063D"/>
    <w:rsid w:val="00505CA0"/>
    <w:rsid w:val="005249D9"/>
    <w:rsid w:val="0055269A"/>
    <w:rsid w:val="005603D1"/>
    <w:rsid w:val="00587CC8"/>
    <w:rsid w:val="005D3E87"/>
    <w:rsid w:val="006765DF"/>
    <w:rsid w:val="006D3FD6"/>
    <w:rsid w:val="007322A6"/>
    <w:rsid w:val="007906BB"/>
    <w:rsid w:val="00792897"/>
    <w:rsid w:val="007A461D"/>
    <w:rsid w:val="00833CF5"/>
    <w:rsid w:val="00893003"/>
    <w:rsid w:val="008B15BC"/>
    <w:rsid w:val="008B6D06"/>
    <w:rsid w:val="008B742D"/>
    <w:rsid w:val="008C265B"/>
    <w:rsid w:val="00983CC3"/>
    <w:rsid w:val="00987215"/>
    <w:rsid w:val="00994AA3"/>
    <w:rsid w:val="009E26F3"/>
    <w:rsid w:val="00A23AAC"/>
    <w:rsid w:val="00A24A6B"/>
    <w:rsid w:val="00A277B8"/>
    <w:rsid w:val="00A80D88"/>
    <w:rsid w:val="00A91007"/>
    <w:rsid w:val="00AB2100"/>
    <w:rsid w:val="00AF1294"/>
    <w:rsid w:val="00B16961"/>
    <w:rsid w:val="00B86B76"/>
    <w:rsid w:val="00B97419"/>
    <w:rsid w:val="00BA104F"/>
    <w:rsid w:val="00BE7124"/>
    <w:rsid w:val="00BF3D96"/>
    <w:rsid w:val="00C12D6E"/>
    <w:rsid w:val="00C42A73"/>
    <w:rsid w:val="00C4438A"/>
    <w:rsid w:val="00C92245"/>
    <w:rsid w:val="00CA27BF"/>
    <w:rsid w:val="00CB2202"/>
    <w:rsid w:val="00CB77F0"/>
    <w:rsid w:val="00CC1A82"/>
    <w:rsid w:val="00CC4F90"/>
    <w:rsid w:val="00CD015F"/>
    <w:rsid w:val="00D5053F"/>
    <w:rsid w:val="00D831E1"/>
    <w:rsid w:val="00D92D62"/>
    <w:rsid w:val="00DC0153"/>
    <w:rsid w:val="00DC1881"/>
    <w:rsid w:val="00DE33E0"/>
    <w:rsid w:val="00E029CF"/>
    <w:rsid w:val="00E10BEB"/>
    <w:rsid w:val="00E33119"/>
    <w:rsid w:val="00E402D8"/>
    <w:rsid w:val="00E46716"/>
    <w:rsid w:val="00E46A48"/>
    <w:rsid w:val="00E55896"/>
    <w:rsid w:val="00E92ACC"/>
    <w:rsid w:val="00EB7C8F"/>
    <w:rsid w:val="00EC6B3B"/>
    <w:rsid w:val="00EE4551"/>
    <w:rsid w:val="00EE7EE5"/>
    <w:rsid w:val="00F62F9C"/>
    <w:rsid w:val="00F84E4B"/>
    <w:rsid w:val="00FB54D0"/>
    <w:rsid w:val="00FE4CB2"/>
    <w:rsid w:val="60C0988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7948"/>
  <w15:docId w15:val="{270DC740-42EE-498F-8DBB-7B1A6FB9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B"/>
    <w:rPr>
      <w:rFonts w:eastAsia="Times New Roman"/>
      <w:lang w:eastAsia="en-US"/>
    </w:rPr>
  </w:style>
  <w:style w:type="paragraph" w:styleId="Heading1">
    <w:name w:val="heading 1"/>
    <w:basedOn w:val="Normal"/>
    <w:next w:val="Normal"/>
    <w:link w:val="Heading1Char"/>
    <w:uiPriority w:val="9"/>
    <w:qFormat/>
    <w:rsid w:val="00994AA3"/>
    <w:pPr>
      <w:keepNext/>
      <w:jc w:val="center"/>
      <w:outlineLvl w:val="0"/>
    </w:pPr>
    <w:rPr>
      <w:b/>
      <w:bCs/>
    </w:rPr>
  </w:style>
  <w:style w:type="paragraph" w:styleId="Heading2">
    <w:name w:val="heading 2"/>
    <w:basedOn w:val="Normal"/>
    <w:next w:val="Normal"/>
    <w:link w:val="Heading2Char"/>
    <w:qFormat/>
    <w:rsid w:val="00994AA3"/>
    <w:pPr>
      <w:keepNext/>
      <w:tabs>
        <w:tab w:val="num" w:pos="495"/>
      </w:tabs>
      <w:ind w:left="495" w:hanging="495"/>
      <w:outlineLvl w:val="1"/>
    </w:pPr>
    <w:rPr>
      <w:b/>
    </w:rPr>
  </w:style>
  <w:style w:type="paragraph" w:styleId="Heading3">
    <w:name w:val="heading 3"/>
    <w:basedOn w:val="Normal"/>
    <w:next w:val="Normal"/>
    <w:link w:val="Heading3Char"/>
    <w:qFormat/>
    <w:rsid w:val="00994AA3"/>
    <w:pPr>
      <w:keepNext/>
      <w:outlineLvl w:val="2"/>
    </w:pPr>
    <w:rPr>
      <w:b/>
      <w:color w:val="FF0000"/>
      <w:sz w:val="44"/>
    </w:rPr>
  </w:style>
  <w:style w:type="paragraph" w:styleId="Heading4">
    <w:name w:val="heading 4"/>
    <w:basedOn w:val="Normal"/>
    <w:link w:val="Heading4Char"/>
    <w:uiPriority w:val="9"/>
    <w:qFormat/>
    <w:rsid w:val="00994AA3"/>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994AA3"/>
    <w:pPr>
      <w:spacing w:before="240" w:after="60"/>
      <w:outlineLvl w:val="4"/>
    </w:pPr>
    <w:rPr>
      <w:rFonts w:ascii="Calibri" w:hAnsi="Calibri"/>
      <w:b/>
      <w:bCs/>
      <w:i/>
      <w:i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4AA3"/>
    <w:rPr>
      <w:b/>
      <w:bCs/>
      <w:sz w:val="24"/>
      <w:szCs w:val="24"/>
    </w:rPr>
  </w:style>
  <w:style w:type="character" w:customStyle="1" w:styleId="Heading2Char">
    <w:name w:val="Heading 2 Char"/>
    <w:link w:val="Heading2"/>
    <w:rsid w:val="00994AA3"/>
    <w:rPr>
      <w:b/>
      <w:sz w:val="24"/>
    </w:rPr>
  </w:style>
  <w:style w:type="character" w:customStyle="1" w:styleId="Heading3Char">
    <w:name w:val="Heading 3 Char"/>
    <w:link w:val="Heading3"/>
    <w:rsid w:val="00994AA3"/>
    <w:rPr>
      <w:b/>
      <w:color w:val="FF0000"/>
      <w:sz w:val="44"/>
    </w:rPr>
  </w:style>
  <w:style w:type="character" w:customStyle="1" w:styleId="Heading4Char">
    <w:name w:val="Heading 4 Char"/>
    <w:link w:val="Heading4"/>
    <w:uiPriority w:val="9"/>
    <w:rsid w:val="00994AA3"/>
    <w:rPr>
      <w:b/>
      <w:bCs/>
      <w:sz w:val="24"/>
      <w:szCs w:val="24"/>
    </w:rPr>
  </w:style>
  <w:style w:type="character" w:customStyle="1" w:styleId="Heading5Char">
    <w:name w:val="Heading 5 Char"/>
    <w:link w:val="Heading5"/>
    <w:uiPriority w:val="9"/>
    <w:rsid w:val="00994AA3"/>
    <w:rPr>
      <w:rFonts w:ascii="Calibri" w:hAnsi="Calibri"/>
      <w:b/>
      <w:bCs/>
      <w:i/>
      <w:iCs/>
      <w:sz w:val="26"/>
      <w:szCs w:val="26"/>
      <w:lang w:val="en-AU" w:eastAsia="x-none"/>
    </w:rPr>
  </w:style>
  <w:style w:type="paragraph" w:styleId="NoSpacing">
    <w:name w:val="No Spacing"/>
    <w:uiPriority w:val="1"/>
    <w:qFormat/>
    <w:rsid w:val="00994AA3"/>
    <w:rPr>
      <w:rFonts w:ascii="Calibri" w:hAnsi="Calibri"/>
      <w:sz w:val="22"/>
      <w:szCs w:val="22"/>
      <w:lang w:eastAsia="en-US"/>
    </w:rPr>
  </w:style>
  <w:style w:type="paragraph" w:styleId="ListParagraph">
    <w:name w:val="List Paragraph"/>
    <w:basedOn w:val="Normal"/>
    <w:uiPriority w:val="34"/>
    <w:qFormat/>
    <w:rsid w:val="00994AA3"/>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994AA3"/>
    <w:rPr>
      <w:i/>
      <w:sz w:val="28"/>
      <w:szCs w:val="28"/>
    </w:rPr>
  </w:style>
  <w:style w:type="character" w:customStyle="1" w:styleId="QuoteChar">
    <w:name w:val="Quote Char"/>
    <w:link w:val="Quote"/>
    <w:uiPriority w:val="29"/>
    <w:rsid w:val="00994AA3"/>
    <w:rPr>
      <w:i/>
      <w:sz w:val="28"/>
      <w:szCs w:val="28"/>
    </w:rPr>
  </w:style>
  <w:style w:type="paragraph" w:styleId="Header">
    <w:name w:val="header"/>
    <w:basedOn w:val="Normal"/>
    <w:link w:val="HeaderChar"/>
    <w:rsid w:val="00A24A6B"/>
    <w:pPr>
      <w:tabs>
        <w:tab w:val="center" w:pos="4320"/>
        <w:tab w:val="right" w:pos="8640"/>
      </w:tabs>
    </w:pPr>
    <w:rPr>
      <w:rFonts w:ascii="Arial" w:hAnsi="Arial"/>
      <w:sz w:val="24"/>
    </w:rPr>
  </w:style>
  <w:style w:type="character" w:customStyle="1" w:styleId="HeaderChar">
    <w:name w:val="Header Char"/>
    <w:link w:val="Header"/>
    <w:rsid w:val="00A24A6B"/>
    <w:rPr>
      <w:rFonts w:ascii="Arial" w:eastAsia="Times New Roman" w:hAnsi="Arial"/>
      <w:sz w:val="24"/>
      <w:lang w:eastAsia="en-US"/>
    </w:rPr>
  </w:style>
  <w:style w:type="table" w:styleId="TableGrid">
    <w:name w:val="Table Grid"/>
    <w:basedOn w:val="TableNormal"/>
    <w:uiPriority w:val="59"/>
    <w:rsid w:val="00A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D015F"/>
    <w:pPr>
      <w:tabs>
        <w:tab w:val="center" w:pos="4153"/>
        <w:tab w:val="right" w:pos="8306"/>
      </w:tabs>
    </w:pPr>
  </w:style>
  <w:style w:type="character" w:customStyle="1" w:styleId="FooterChar">
    <w:name w:val="Footer Char"/>
    <w:link w:val="Footer"/>
    <w:uiPriority w:val="99"/>
    <w:rsid w:val="00CD015F"/>
    <w:rPr>
      <w:rFonts w:eastAsia="Times New Roman"/>
      <w:lang w:eastAsia="en-US"/>
    </w:rPr>
  </w:style>
  <w:style w:type="paragraph" w:customStyle="1" w:styleId="BodyB">
    <w:name w:val="Body B"/>
    <w:rsid w:val="002079F2"/>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Hyperlink">
    <w:name w:val="Hyperlink"/>
    <w:basedOn w:val="DefaultParagraphFont"/>
    <w:uiPriority w:val="99"/>
    <w:unhideWhenUsed/>
    <w:rsid w:val="00AF1294"/>
    <w:rPr>
      <w:color w:val="0563C1" w:themeColor="hyperlink"/>
      <w:u w:val="single"/>
    </w:rPr>
  </w:style>
  <w:style w:type="character" w:customStyle="1" w:styleId="UnresolvedMention1">
    <w:name w:val="Unresolved Mention1"/>
    <w:basedOn w:val="DefaultParagraphFont"/>
    <w:uiPriority w:val="99"/>
    <w:semiHidden/>
    <w:unhideWhenUsed/>
    <w:rsid w:val="00AF1294"/>
    <w:rPr>
      <w:color w:val="605E5C"/>
      <w:shd w:val="clear" w:color="auto" w:fill="E1DFDD"/>
    </w:rPr>
  </w:style>
  <w:style w:type="paragraph" w:styleId="FootnoteText">
    <w:name w:val="footnote text"/>
    <w:basedOn w:val="Normal"/>
    <w:link w:val="FootnoteTextChar"/>
    <w:uiPriority w:val="99"/>
    <w:semiHidden/>
    <w:unhideWhenUsed/>
    <w:rsid w:val="00AF1294"/>
  </w:style>
  <w:style w:type="character" w:customStyle="1" w:styleId="FootnoteTextChar">
    <w:name w:val="Footnote Text Char"/>
    <w:basedOn w:val="DefaultParagraphFont"/>
    <w:link w:val="FootnoteText"/>
    <w:uiPriority w:val="99"/>
    <w:semiHidden/>
    <w:rsid w:val="00AF1294"/>
    <w:rPr>
      <w:rFonts w:eastAsia="Times New Roman"/>
      <w:lang w:eastAsia="en-US"/>
    </w:rPr>
  </w:style>
  <w:style w:type="character" w:styleId="FootnoteReference">
    <w:name w:val="footnote reference"/>
    <w:basedOn w:val="DefaultParagraphFont"/>
    <w:uiPriority w:val="99"/>
    <w:semiHidden/>
    <w:unhideWhenUsed/>
    <w:rsid w:val="00AF12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publications-data/risk-assessment-emergence-hypervirulent-klebsiella-pneumoniae-eu-e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a.purenina\Desktop\SPKC\4_vestule_elektroniskais_paraksts_valsts_valoda_pilnkrasu.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01F38-9863-4D00-A3C1-F20B3901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4_vestule_elektroniskais_paraksts_valsts_valoda_pilnkrasu</Template>
  <TotalTime>2</TotalTime>
  <Pages>2</Pages>
  <Words>2846</Words>
  <Characters>1623</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Pavlovica</dc:creator>
  <cp:lastModifiedBy>Anita Zolmane</cp:lastModifiedBy>
  <cp:revision>2</cp:revision>
  <cp:lastPrinted>2024-03-14T09:21:00Z</cp:lastPrinted>
  <dcterms:created xsi:type="dcterms:W3CDTF">2024-04-03T12:02:00Z</dcterms:created>
  <dcterms:modified xsi:type="dcterms:W3CDTF">2024-04-03T12:02:00Z</dcterms:modified>
</cp:coreProperties>
</file>