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49" w:rsidRDefault="003519F8" w:rsidP="003519F8">
      <w:pPr>
        <w:spacing w:after="120" w:line="240" w:lineRule="auto"/>
        <w:jc w:val="center"/>
        <w:rPr>
          <w:rFonts w:ascii="Times New Roman" w:hAnsi="Times New Roman"/>
          <w:b/>
          <w:bCs/>
          <w:sz w:val="24"/>
          <w:szCs w:val="24"/>
        </w:rPr>
      </w:pPr>
      <w:r>
        <w:rPr>
          <w:rFonts w:ascii="Times New Roman" w:hAnsi="Times New Roman"/>
          <w:b/>
          <w:bCs/>
          <w:sz w:val="24"/>
          <w:szCs w:val="24"/>
        </w:rPr>
        <w:t>Biežāk uzdotie jautājumi</w:t>
      </w:r>
    </w:p>
    <w:p w:rsidR="00CA4049" w:rsidRDefault="00CA4049" w:rsidP="003519F8">
      <w:pPr>
        <w:pStyle w:val="ListParagraph"/>
        <w:numPr>
          <w:ilvl w:val="0"/>
          <w:numId w:val="6"/>
        </w:numPr>
        <w:spacing w:after="120" w:line="240" w:lineRule="auto"/>
        <w:ind w:left="0"/>
        <w:jc w:val="both"/>
        <w:rPr>
          <w:rFonts w:ascii="Times New Roman" w:hAnsi="Times New Roman"/>
          <w:b/>
          <w:bCs/>
          <w:sz w:val="24"/>
          <w:szCs w:val="24"/>
        </w:rPr>
      </w:pPr>
      <w:r>
        <w:rPr>
          <w:rFonts w:ascii="Times New Roman" w:hAnsi="Times New Roman"/>
          <w:b/>
          <w:bCs/>
          <w:sz w:val="24"/>
          <w:szCs w:val="24"/>
        </w:rPr>
        <w:t>Kādēļ ģimenes ārstu praksēm neapmaksā manipulāciju, kas paredzēta individuālo aizsardzības līdzekļu izmaksu segšanai vakcinācijas procesa nodrošināšanai?</w:t>
      </w:r>
    </w:p>
    <w:p w:rsidR="00CA4049" w:rsidRPr="00CA4049" w:rsidRDefault="00CA4049" w:rsidP="003519F8">
      <w:pPr>
        <w:spacing w:after="120" w:line="240" w:lineRule="auto"/>
        <w:jc w:val="both"/>
        <w:rPr>
          <w:rFonts w:ascii="Times New Roman" w:hAnsi="Times New Roman" w:cs="Times New Roman"/>
          <w:color w:val="000000"/>
          <w:sz w:val="24"/>
          <w:szCs w:val="24"/>
          <w:lang w:eastAsia="lv-LV"/>
        </w:rPr>
      </w:pPr>
      <w:r w:rsidRPr="00CA4049">
        <w:rPr>
          <w:rFonts w:ascii="Times New Roman" w:hAnsi="Times New Roman" w:cs="Times New Roman"/>
          <w:color w:val="000000"/>
          <w:sz w:val="24"/>
          <w:szCs w:val="24"/>
          <w:lang w:eastAsia="lv-LV"/>
        </w:rPr>
        <w:t>Maskas un respiratori ģimenes ārstu praksēm tiek piegādāt</w:t>
      </w:r>
      <w:r>
        <w:rPr>
          <w:rFonts w:ascii="Times New Roman" w:hAnsi="Times New Roman" w:cs="Times New Roman"/>
          <w:color w:val="000000"/>
          <w:sz w:val="24"/>
          <w:szCs w:val="24"/>
          <w:lang w:eastAsia="lv-LV"/>
        </w:rPr>
        <w:t>i</w:t>
      </w:r>
      <w:r w:rsidRPr="00CA4049">
        <w:rPr>
          <w:rFonts w:ascii="Times New Roman" w:hAnsi="Times New Roman" w:cs="Times New Roman"/>
          <w:color w:val="000000"/>
          <w:sz w:val="24"/>
          <w:szCs w:val="24"/>
          <w:lang w:eastAsia="lv-LV"/>
        </w:rPr>
        <w:t xml:space="preserve"> no centralizētiem Aizsardzības ministrijas iepirkumiem.</w:t>
      </w:r>
      <w:r>
        <w:rPr>
          <w:rFonts w:ascii="Times New Roman" w:hAnsi="Times New Roman" w:cs="Times New Roman"/>
          <w:color w:val="000000"/>
          <w:sz w:val="24"/>
          <w:szCs w:val="24"/>
          <w:lang w:eastAsia="lv-LV"/>
        </w:rPr>
        <w:t xml:space="preserve"> </w:t>
      </w:r>
      <w:r w:rsidRPr="00CA4049">
        <w:rPr>
          <w:rFonts w:ascii="Times New Roman" w:hAnsi="Times New Roman" w:cs="Times New Roman"/>
          <w:color w:val="000000"/>
          <w:sz w:val="24"/>
          <w:szCs w:val="24"/>
          <w:lang w:eastAsia="lv-LV"/>
        </w:rPr>
        <w:t>Citām ārstniecības iestādēm šādas piegādes netiek veiktas</w:t>
      </w:r>
      <w:r>
        <w:rPr>
          <w:rFonts w:ascii="Times New Roman" w:hAnsi="Times New Roman" w:cs="Times New Roman"/>
          <w:color w:val="000000"/>
          <w:sz w:val="24"/>
          <w:szCs w:val="24"/>
          <w:lang w:eastAsia="lv-LV"/>
        </w:rPr>
        <w:t>, tādēļ ir izveidota atsevišķa manipulācija</w:t>
      </w:r>
      <w:r w:rsidRPr="00CA4049">
        <w:rPr>
          <w:rFonts w:ascii="Times New Roman" w:hAnsi="Times New Roman" w:cs="Times New Roman"/>
          <w:color w:val="000000"/>
          <w:sz w:val="24"/>
          <w:szCs w:val="24"/>
          <w:lang w:eastAsia="lv-LV"/>
        </w:rPr>
        <w:t>.</w:t>
      </w:r>
      <w:r>
        <w:rPr>
          <w:rFonts w:ascii="Times New Roman" w:hAnsi="Times New Roman" w:cs="Times New Roman"/>
          <w:color w:val="000000"/>
          <w:sz w:val="24"/>
          <w:szCs w:val="24"/>
          <w:lang w:eastAsia="lv-LV"/>
        </w:rPr>
        <w:t xml:space="preserve"> J</w:t>
      </w:r>
      <w:r w:rsidRPr="00CA4049">
        <w:rPr>
          <w:rFonts w:ascii="Times New Roman" w:hAnsi="Times New Roman" w:cs="Times New Roman"/>
          <w:color w:val="000000"/>
          <w:sz w:val="24"/>
          <w:szCs w:val="24"/>
          <w:lang w:eastAsia="lv-LV"/>
        </w:rPr>
        <w:t>a šo manipulāciju maksās ģimenes ārstiem, notiks “papildus” apmaksa par centralizēti piegādātām maskām un respiratoriem.</w:t>
      </w:r>
      <w:r>
        <w:rPr>
          <w:rFonts w:ascii="Times New Roman" w:hAnsi="Times New Roman" w:cs="Times New Roman"/>
          <w:color w:val="000000"/>
          <w:sz w:val="24"/>
          <w:szCs w:val="24"/>
          <w:lang w:eastAsia="lv-LV"/>
        </w:rPr>
        <w:t xml:space="preserve"> </w:t>
      </w:r>
      <w:r w:rsidRPr="00CA4049">
        <w:rPr>
          <w:rFonts w:ascii="Times New Roman" w:hAnsi="Times New Roman" w:cs="Times New Roman"/>
          <w:color w:val="000000"/>
          <w:sz w:val="24"/>
          <w:szCs w:val="24"/>
          <w:lang w:eastAsia="lv-LV"/>
        </w:rPr>
        <w:t>Citi IAL (cimdi, halāti , cepures, vizieri, dezinfekcijas līdzekļi) ģimenes ārstu praksei tiek segti ar fiksētu maksājumu</w:t>
      </w:r>
      <w:r>
        <w:rPr>
          <w:rFonts w:ascii="Times New Roman" w:hAnsi="Times New Roman" w:cs="Times New Roman"/>
          <w:color w:val="000000"/>
          <w:sz w:val="24"/>
          <w:szCs w:val="24"/>
          <w:lang w:eastAsia="lv-LV"/>
        </w:rPr>
        <w:t>,</w:t>
      </w:r>
      <w:r w:rsidRPr="00CA4049">
        <w:rPr>
          <w:rFonts w:ascii="Times New Roman" w:hAnsi="Times New Roman" w:cs="Times New Roman"/>
          <w:color w:val="000000"/>
          <w:sz w:val="24"/>
          <w:szCs w:val="24"/>
          <w:lang w:eastAsia="lv-LV"/>
        </w:rPr>
        <w:t xml:space="preserve"> ņemot vērā praksē nodarbināto darbinieku skaitu un klātienes apmeklējumu skaitu. Šo, IAL lietošana (izņemot cimdus) ir ierobežota ar laiku un ne visos gadījumos ir saistīta ar personu apmeklējumu skaitu. NVD plāno regulāri pārskatīt maksājumu atbilstoši iepriekšējā periodā informācijai par prakses aktivitātei (personu apmeklējumu skaitu praksē) un tādā veidā arī tiek plānots segt izdevumus, ja praksē būs vairāk apmeklējumi , kas saistīti ar </w:t>
      </w:r>
      <w:r w:rsidR="00495EB6">
        <w:rPr>
          <w:rFonts w:ascii="Times New Roman" w:hAnsi="Times New Roman" w:cs="Times New Roman"/>
          <w:color w:val="000000"/>
          <w:sz w:val="24"/>
          <w:szCs w:val="24"/>
          <w:lang w:eastAsia="lv-LV"/>
        </w:rPr>
        <w:t>C</w:t>
      </w:r>
      <w:r w:rsidRPr="00CA4049">
        <w:rPr>
          <w:rFonts w:ascii="Times New Roman" w:hAnsi="Times New Roman" w:cs="Times New Roman"/>
          <w:color w:val="000000"/>
          <w:sz w:val="24"/>
          <w:szCs w:val="24"/>
          <w:lang w:eastAsia="lv-LV"/>
        </w:rPr>
        <w:t>ovid-19 vakcināciju.</w:t>
      </w:r>
    </w:p>
    <w:p w:rsidR="00CA4049" w:rsidRDefault="00CA4049" w:rsidP="003519F8">
      <w:pPr>
        <w:spacing w:after="120" w:line="240" w:lineRule="auto"/>
        <w:jc w:val="both"/>
        <w:rPr>
          <w:rFonts w:ascii="Times New Roman" w:hAnsi="Times New Roman" w:cs="Times New Roman"/>
          <w:color w:val="000000"/>
          <w:sz w:val="24"/>
          <w:szCs w:val="24"/>
          <w:lang w:eastAsia="lv-LV"/>
        </w:rPr>
      </w:pPr>
    </w:p>
    <w:p w:rsidR="00495EB6" w:rsidRDefault="00495EB6" w:rsidP="003519F8">
      <w:pPr>
        <w:pStyle w:val="ListParagraph"/>
        <w:numPr>
          <w:ilvl w:val="0"/>
          <w:numId w:val="6"/>
        </w:numPr>
        <w:spacing w:after="120" w:line="240" w:lineRule="auto"/>
        <w:ind w:left="0"/>
        <w:jc w:val="both"/>
        <w:rPr>
          <w:rFonts w:ascii="Times New Roman" w:hAnsi="Times New Roman"/>
          <w:b/>
          <w:bCs/>
          <w:sz w:val="24"/>
          <w:szCs w:val="24"/>
        </w:rPr>
      </w:pPr>
      <w:r w:rsidRPr="00495EB6">
        <w:rPr>
          <w:rFonts w:ascii="Times New Roman" w:hAnsi="Times New Roman"/>
          <w:b/>
          <w:bCs/>
          <w:sz w:val="24"/>
          <w:szCs w:val="24"/>
        </w:rPr>
        <w:t>Kādi ir manipulācijas 03084 - Adrenalīna (</w:t>
      </w:r>
      <w:proofErr w:type="spellStart"/>
      <w:r w:rsidRPr="00495EB6">
        <w:rPr>
          <w:rFonts w:ascii="Times New Roman" w:hAnsi="Times New Roman"/>
          <w:b/>
          <w:bCs/>
          <w:sz w:val="24"/>
          <w:szCs w:val="24"/>
        </w:rPr>
        <w:t>epinefrīna</w:t>
      </w:r>
      <w:proofErr w:type="spellEnd"/>
      <w:r w:rsidRPr="00495EB6">
        <w:rPr>
          <w:rFonts w:ascii="Times New Roman" w:hAnsi="Times New Roman"/>
          <w:b/>
          <w:bCs/>
          <w:sz w:val="24"/>
          <w:szCs w:val="24"/>
        </w:rPr>
        <w:t>) (</w:t>
      </w:r>
      <w:proofErr w:type="spellStart"/>
      <w:r w:rsidRPr="00495EB6">
        <w:rPr>
          <w:rFonts w:ascii="Times New Roman" w:hAnsi="Times New Roman"/>
          <w:b/>
          <w:bCs/>
          <w:sz w:val="24"/>
          <w:szCs w:val="24"/>
        </w:rPr>
        <w:t>epinephrinum</w:t>
      </w:r>
      <w:proofErr w:type="spellEnd"/>
      <w:r w:rsidRPr="00495EB6">
        <w:rPr>
          <w:rFonts w:ascii="Times New Roman" w:hAnsi="Times New Roman"/>
          <w:b/>
          <w:bCs/>
          <w:sz w:val="24"/>
          <w:szCs w:val="24"/>
        </w:rPr>
        <w:t>) 300 µg injekcija ar </w:t>
      </w:r>
      <w:proofErr w:type="spellStart"/>
      <w:r w:rsidRPr="00495EB6">
        <w:rPr>
          <w:rFonts w:ascii="Times New Roman" w:hAnsi="Times New Roman"/>
          <w:b/>
          <w:bCs/>
          <w:sz w:val="24"/>
          <w:szCs w:val="24"/>
        </w:rPr>
        <w:t>pildspalvveida</w:t>
      </w:r>
      <w:proofErr w:type="spellEnd"/>
      <w:r w:rsidRPr="00495EB6">
        <w:rPr>
          <w:rFonts w:ascii="Times New Roman" w:hAnsi="Times New Roman"/>
          <w:b/>
          <w:bCs/>
          <w:sz w:val="24"/>
          <w:szCs w:val="24"/>
        </w:rPr>
        <w:t> </w:t>
      </w:r>
      <w:proofErr w:type="spellStart"/>
      <w:r w:rsidRPr="00495EB6">
        <w:rPr>
          <w:rFonts w:ascii="Times New Roman" w:hAnsi="Times New Roman"/>
          <w:b/>
          <w:bCs/>
          <w:sz w:val="24"/>
          <w:szCs w:val="24"/>
        </w:rPr>
        <w:t>pilnšļirci</w:t>
      </w:r>
      <w:proofErr w:type="spellEnd"/>
      <w:r w:rsidRPr="00495EB6">
        <w:rPr>
          <w:rFonts w:ascii="Times New Roman" w:hAnsi="Times New Roman"/>
          <w:b/>
          <w:bCs/>
          <w:sz w:val="24"/>
          <w:szCs w:val="24"/>
        </w:rPr>
        <w:t xml:space="preserve"> apmaksas nosacījumi?</w:t>
      </w:r>
    </w:p>
    <w:p w:rsidR="00495EB6" w:rsidRDefault="00495EB6" w:rsidP="003519F8">
      <w:pPr>
        <w:spacing w:after="120" w:line="240" w:lineRule="auto"/>
        <w:jc w:val="both"/>
        <w:rPr>
          <w:rFonts w:ascii="Times New Roman" w:hAnsi="Times New Roman" w:cs="Times New Roman"/>
          <w:color w:val="000000"/>
          <w:sz w:val="24"/>
          <w:szCs w:val="24"/>
          <w:lang w:eastAsia="lv-LV"/>
        </w:rPr>
      </w:pPr>
      <w:r w:rsidRPr="00495EB6">
        <w:rPr>
          <w:rFonts w:ascii="Times New Roman" w:hAnsi="Times New Roman" w:cs="Times New Roman"/>
          <w:color w:val="000000"/>
          <w:sz w:val="24"/>
          <w:szCs w:val="24"/>
          <w:lang w:eastAsia="lv-LV"/>
        </w:rPr>
        <w:t xml:space="preserve">Dienests skaidro, ka zāļu formu , kādu izmantot neatliekamās palīdzības nodrošināšanai pie Covid-19 vakcinācijas, izvēlas ārstniecības iestāde. Dienests vakcinācijas darba grupā saņēma ierosinājumu no Imunizācijas valsts padomes , ka nepieciešamas izveidot apmaksu ērtāk lietojamai </w:t>
      </w:r>
      <w:proofErr w:type="spellStart"/>
      <w:r w:rsidRPr="00495EB6">
        <w:rPr>
          <w:rFonts w:ascii="Times New Roman" w:hAnsi="Times New Roman" w:cs="Times New Roman"/>
          <w:color w:val="000000"/>
          <w:sz w:val="24"/>
          <w:szCs w:val="24"/>
          <w:lang w:eastAsia="lv-LV"/>
        </w:rPr>
        <w:t>epinefrīna</w:t>
      </w:r>
      <w:proofErr w:type="spellEnd"/>
      <w:r w:rsidRPr="00495EB6">
        <w:rPr>
          <w:rFonts w:ascii="Times New Roman" w:hAnsi="Times New Roman" w:cs="Times New Roman"/>
          <w:color w:val="000000"/>
          <w:sz w:val="24"/>
          <w:szCs w:val="24"/>
          <w:lang w:eastAsia="lv-LV"/>
        </w:rPr>
        <w:t xml:space="preserve"> zāļu formai un izveidoja jaunu tarifu ar Latvijas zāļu reģistrā  norādīto maksimālās cenas diapazonu. Jau spēkā esošais regulējums MK Nr. 60 “Noteikumi par obligātajām prasībām ārstniecības iestādēm un to struktūrvienībām ” 14. punktā nosaka, ka ārstniecības iestādē ir pieejama vadītāja apstiprināta neatliekamās medicīniskās palīdzības sniegšanas kārtība. Ārstniecības iestādē (izņemot zobu tehnisko laboratoriju un klīniskās diagnostikas laboratoriju) ir nodrošināti neatliekamās medicīniskās palīdzības sniegšanai nepieciešamie medikamenti un medicīniskās ierīces. Līdz ar to prakse jau ir nodrošināta ar nepieciešamiem medikamentiem neatliekamās  palīdzības nodrošināšanai, bet Dienests sedz papildus izdevumus, kas rodas, lietojot šādu ērtāk lietojamu zāļu formu.</w:t>
      </w:r>
    </w:p>
    <w:p w:rsidR="003519F8" w:rsidRDefault="003519F8" w:rsidP="003519F8">
      <w:pPr>
        <w:spacing w:after="120" w:line="240" w:lineRule="auto"/>
        <w:jc w:val="both"/>
        <w:rPr>
          <w:rFonts w:ascii="Times New Roman" w:hAnsi="Times New Roman" w:cs="Times New Roman"/>
          <w:color w:val="000000"/>
          <w:sz w:val="24"/>
          <w:szCs w:val="24"/>
          <w:lang w:eastAsia="lv-LV"/>
        </w:rPr>
      </w:pPr>
    </w:p>
    <w:p w:rsidR="00495EB6" w:rsidRPr="00ED79BA" w:rsidRDefault="00ED79BA" w:rsidP="003519F8">
      <w:pPr>
        <w:pStyle w:val="ListParagraph"/>
        <w:numPr>
          <w:ilvl w:val="0"/>
          <w:numId w:val="6"/>
        </w:numPr>
        <w:spacing w:after="120" w:line="240" w:lineRule="auto"/>
        <w:ind w:left="0"/>
        <w:jc w:val="both"/>
        <w:rPr>
          <w:rFonts w:ascii="Times New Roman" w:hAnsi="Times New Roman"/>
          <w:b/>
          <w:bCs/>
          <w:sz w:val="24"/>
          <w:szCs w:val="24"/>
        </w:rPr>
      </w:pPr>
      <w:r>
        <w:rPr>
          <w:rFonts w:ascii="Times New Roman" w:hAnsi="Times New Roman"/>
          <w:b/>
          <w:bCs/>
          <w:sz w:val="24"/>
          <w:szCs w:val="24"/>
        </w:rPr>
        <w:t xml:space="preserve">Ko iekļauj manipulācija </w:t>
      </w:r>
      <w:r w:rsidRPr="00ED79BA">
        <w:rPr>
          <w:rFonts w:ascii="Times New Roman" w:hAnsi="Times New Roman"/>
          <w:b/>
          <w:bCs/>
          <w:sz w:val="24"/>
          <w:szCs w:val="24"/>
        </w:rPr>
        <w:t>03097?</w:t>
      </w:r>
    </w:p>
    <w:p w:rsidR="00ED79BA" w:rsidRDefault="00ED79BA" w:rsidP="003519F8">
      <w:pPr>
        <w:spacing w:after="120" w:line="240" w:lineRule="auto"/>
        <w:jc w:val="both"/>
        <w:rPr>
          <w:rFonts w:ascii="Times New Roman" w:hAnsi="Times New Roman"/>
          <w:sz w:val="24"/>
          <w:szCs w:val="24"/>
        </w:rPr>
      </w:pPr>
      <w:r>
        <w:rPr>
          <w:rFonts w:ascii="Times New Roman" w:hAnsi="Times New Roman"/>
          <w:sz w:val="24"/>
          <w:szCs w:val="24"/>
        </w:rPr>
        <w:t>Manipulācija apvieno visas standarta Covid-19 vakcinācijas manipulācijas, iekļaujot tajā arī papildus darba laika apmaksu, lai atbalstītu ģimenes ārstu praksē nodarbinātās ārstniecības personas vakcinācijas plāna izpildes realizēšanai. Manipulāciju nenorāda papildus ar brīvdienu tarifa piemaksām</w:t>
      </w:r>
      <w:r w:rsidR="00956E5C">
        <w:rPr>
          <w:rFonts w:ascii="Times New Roman" w:hAnsi="Times New Roman"/>
          <w:sz w:val="24"/>
          <w:szCs w:val="24"/>
        </w:rPr>
        <w:t xml:space="preserve">, </w:t>
      </w:r>
      <w:r>
        <w:rPr>
          <w:rFonts w:ascii="Times New Roman" w:hAnsi="Times New Roman"/>
          <w:sz w:val="24"/>
          <w:szCs w:val="24"/>
        </w:rPr>
        <w:t>kā arī citām ar vakcināciju saistītajām piemaksas manipulācijām.</w:t>
      </w:r>
      <w:r w:rsidR="00956E5C">
        <w:rPr>
          <w:rFonts w:ascii="Times New Roman" w:hAnsi="Times New Roman"/>
          <w:sz w:val="24"/>
          <w:szCs w:val="24"/>
        </w:rPr>
        <w:t xml:space="preserve"> </w:t>
      </w:r>
      <w:r w:rsidR="00956E5C" w:rsidRPr="00956E5C">
        <w:rPr>
          <w:rFonts w:ascii="Times New Roman" w:hAnsi="Times New Roman"/>
          <w:sz w:val="24"/>
          <w:szCs w:val="24"/>
        </w:rPr>
        <w:t xml:space="preserve">Manipulāciju apmaksā ģimenes ārstiem, kas veic vakcināciju pret Covid-19 senioriem no 60 gadu vecuma un personām ar hroniskām slimībām, saskaņā ar rekomendācijām personu ar hroniskām slimībām vakcinācijas organizācijai, kas publicētas Slimību profilakses un kontroles centra tīmekļvietnē, t.i., ļaundabīgi audzēji, hroniskas nieru slimības, Dauna sindroms, </w:t>
      </w:r>
      <w:proofErr w:type="spellStart"/>
      <w:r w:rsidR="00956E5C" w:rsidRPr="00956E5C">
        <w:rPr>
          <w:rFonts w:ascii="Times New Roman" w:hAnsi="Times New Roman"/>
          <w:sz w:val="24"/>
          <w:szCs w:val="24"/>
        </w:rPr>
        <w:t>demence</w:t>
      </w:r>
      <w:proofErr w:type="spellEnd"/>
      <w:r w:rsidR="00956E5C" w:rsidRPr="00956E5C">
        <w:rPr>
          <w:rFonts w:ascii="Times New Roman" w:hAnsi="Times New Roman"/>
          <w:sz w:val="24"/>
          <w:szCs w:val="24"/>
        </w:rPr>
        <w:t xml:space="preserve"> un tamlīdzīgas slimības; sirds asinsvadu sistēmas slimības (sirds </w:t>
      </w:r>
      <w:proofErr w:type="spellStart"/>
      <w:r w:rsidR="00956E5C" w:rsidRPr="00956E5C">
        <w:rPr>
          <w:rFonts w:ascii="Times New Roman" w:hAnsi="Times New Roman"/>
          <w:sz w:val="24"/>
          <w:szCs w:val="24"/>
        </w:rPr>
        <w:t>išēmiskā</w:t>
      </w:r>
      <w:proofErr w:type="spellEnd"/>
      <w:r w:rsidR="00956E5C" w:rsidRPr="00956E5C">
        <w:rPr>
          <w:rFonts w:ascii="Times New Roman" w:hAnsi="Times New Roman"/>
          <w:sz w:val="24"/>
          <w:szCs w:val="24"/>
        </w:rPr>
        <w:t xml:space="preserve"> slimība, kardiomiopātijas), smadzeņu asinsvadu slimības (insulti), aptaukošanās (ķermeņa masas indekss virs 30kg/m2), </w:t>
      </w:r>
      <w:proofErr w:type="spellStart"/>
      <w:r w:rsidR="00956E5C" w:rsidRPr="00956E5C">
        <w:rPr>
          <w:rFonts w:ascii="Times New Roman" w:hAnsi="Times New Roman"/>
          <w:sz w:val="24"/>
          <w:szCs w:val="24"/>
        </w:rPr>
        <w:t>sirpjšūnu</w:t>
      </w:r>
      <w:proofErr w:type="spellEnd"/>
      <w:r w:rsidR="00956E5C" w:rsidRPr="00956E5C">
        <w:rPr>
          <w:rFonts w:ascii="Times New Roman" w:hAnsi="Times New Roman"/>
          <w:sz w:val="24"/>
          <w:szCs w:val="24"/>
        </w:rPr>
        <w:t xml:space="preserve"> anēmija, cukura diabēts, bronhiālā astma, </w:t>
      </w:r>
      <w:proofErr w:type="spellStart"/>
      <w:r w:rsidR="00956E5C" w:rsidRPr="00956E5C">
        <w:rPr>
          <w:rFonts w:ascii="Times New Roman" w:hAnsi="Times New Roman"/>
          <w:sz w:val="24"/>
          <w:szCs w:val="24"/>
        </w:rPr>
        <w:t>cistiskā</w:t>
      </w:r>
      <w:proofErr w:type="spellEnd"/>
      <w:r w:rsidR="00956E5C" w:rsidRPr="00956E5C">
        <w:rPr>
          <w:rFonts w:ascii="Times New Roman" w:hAnsi="Times New Roman"/>
          <w:sz w:val="24"/>
          <w:szCs w:val="24"/>
        </w:rPr>
        <w:t xml:space="preserve"> fibroze, smaga arteriālā hipertensija, aknu slimības (t. sk. hepatīti), plaušu fibroze, </w:t>
      </w:r>
      <w:proofErr w:type="spellStart"/>
      <w:r w:rsidR="00956E5C" w:rsidRPr="00956E5C">
        <w:rPr>
          <w:rFonts w:ascii="Times New Roman" w:hAnsi="Times New Roman"/>
          <w:sz w:val="24"/>
          <w:szCs w:val="24"/>
        </w:rPr>
        <w:t>talasēmija</w:t>
      </w:r>
      <w:proofErr w:type="spellEnd"/>
      <w:r w:rsidR="00956E5C" w:rsidRPr="00956E5C">
        <w:rPr>
          <w:rFonts w:ascii="Times New Roman" w:hAnsi="Times New Roman"/>
          <w:sz w:val="24"/>
          <w:szCs w:val="24"/>
        </w:rPr>
        <w:t>, personas ar imūndeficītu stāvokli (t. sk. HIV infekcija, medikamentoza imūndepresija, onkoloģiskas slimības u. tml.)</w:t>
      </w:r>
      <w:r w:rsidR="00956E5C">
        <w:rPr>
          <w:rFonts w:ascii="Times New Roman" w:hAnsi="Times New Roman"/>
          <w:sz w:val="24"/>
          <w:szCs w:val="24"/>
        </w:rPr>
        <w:t>,</w:t>
      </w:r>
      <w:r w:rsidR="00956E5C" w:rsidRPr="00956E5C">
        <w:rPr>
          <w:rFonts w:ascii="Times New Roman" w:hAnsi="Times New Roman"/>
          <w:sz w:val="24"/>
          <w:szCs w:val="24"/>
        </w:rPr>
        <w:t xml:space="preserve"> izņemot pacientus, kas atbilst I vai II prioritāri vakcinējamai grupai.</w:t>
      </w:r>
    </w:p>
    <w:p w:rsidR="003519F8" w:rsidRPr="00ED79BA" w:rsidRDefault="003519F8" w:rsidP="003519F8">
      <w:pPr>
        <w:spacing w:after="120" w:line="240" w:lineRule="auto"/>
        <w:jc w:val="both"/>
        <w:rPr>
          <w:rFonts w:ascii="Times New Roman" w:hAnsi="Times New Roman"/>
          <w:sz w:val="24"/>
          <w:szCs w:val="24"/>
        </w:rPr>
      </w:pPr>
    </w:p>
    <w:p w:rsidR="003E33A5" w:rsidRPr="003519F8" w:rsidRDefault="00956E5C" w:rsidP="003519F8">
      <w:pPr>
        <w:pStyle w:val="ListParagraph"/>
        <w:numPr>
          <w:ilvl w:val="0"/>
          <w:numId w:val="6"/>
        </w:numPr>
        <w:spacing w:after="120" w:line="240" w:lineRule="auto"/>
        <w:ind w:left="0"/>
        <w:jc w:val="both"/>
        <w:rPr>
          <w:rFonts w:ascii="Times New Roman" w:hAnsi="Times New Roman"/>
          <w:b/>
          <w:bCs/>
          <w:color w:val="000000" w:themeColor="text1"/>
          <w:sz w:val="24"/>
          <w:szCs w:val="24"/>
        </w:rPr>
      </w:pPr>
      <w:r w:rsidRPr="003519F8">
        <w:rPr>
          <w:rFonts w:ascii="Times New Roman" w:hAnsi="Times New Roman"/>
          <w:b/>
          <w:bCs/>
          <w:color w:val="000000" w:themeColor="text1"/>
          <w:sz w:val="24"/>
          <w:szCs w:val="24"/>
        </w:rPr>
        <w:t>Kādas manipulācijas norādīt, ja pacients atbilst vairākām prioritārajām vakcinācijas grupām?</w:t>
      </w:r>
    </w:p>
    <w:p w:rsidR="003E33A5" w:rsidRDefault="003E33A5" w:rsidP="003519F8">
      <w:pPr>
        <w:spacing w:after="120" w:line="240" w:lineRule="auto"/>
        <w:jc w:val="both"/>
        <w:rPr>
          <w:rFonts w:ascii="Times New Roman" w:hAnsi="Times New Roman"/>
          <w:color w:val="FF0000"/>
          <w:sz w:val="24"/>
          <w:szCs w:val="24"/>
        </w:rPr>
      </w:pPr>
      <w:r w:rsidRPr="003519F8">
        <w:rPr>
          <w:rFonts w:ascii="Times New Roman" w:hAnsi="Times New Roman"/>
          <w:color w:val="000000" w:themeColor="text1"/>
          <w:sz w:val="24"/>
          <w:szCs w:val="24"/>
        </w:rPr>
        <w:t xml:space="preserve">Vakcinācijas process tiek organizēts pakāpeniski pārejot no vienas prioritārās grupas uz nākamo. Personai vajadzētu saņemt vakcīnu atbilstoši tai grupai, kas pirmā iekļauta vakcinācijas plānā. Piemēram, persona Jānis ir medicīnas darbinieks, bet slimo ar diabētu. Viņš primāri tiks vakcinēts kā medicīnā nodarbinātais (I prioritārā grupa). Cits piemērs, persona Anna, kas ir hroniski slima, bet dzīvo sociālās aprūpes centrā, saņems vakcīnu kā sociālā aprūpes centra kliente (II prioritātes grupa). Bet, ja policijas darbinieks (V grupa) ir arī onkoloģijas pacients, viņš vakcināciju saņems kā </w:t>
      </w:r>
      <w:r w:rsidR="0023772A" w:rsidRPr="003519F8">
        <w:rPr>
          <w:rFonts w:ascii="Times New Roman" w:hAnsi="Times New Roman"/>
          <w:color w:val="000000" w:themeColor="text1"/>
          <w:sz w:val="24"/>
          <w:szCs w:val="24"/>
        </w:rPr>
        <w:t>III</w:t>
      </w:r>
      <w:r w:rsidRPr="003519F8">
        <w:rPr>
          <w:rFonts w:ascii="Times New Roman" w:hAnsi="Times New Roman"/>
          <w:color w:val="000000" w:themeColor="text1"/>
          <w:sz w:val="24"/>
          <w:szCs w:val="24"/>
        </w:rPr>
        <w:t xml:space="preserve"> prioritārā grupa jeb hroniskais pacients. Tādēļ manipulāciju 03097 norāda atbilstoši </w:t>
      </w:r>
      <w:r w:rsidR="00CE0756" w:rsidRPr="003519F8">
        <w:rPr>
          <w:rFonts w:ascii="Times New Roman" w:hAnsi="Times New Roman"/>
          <w:color w:val="000000" w:themeColor="text1"/>
          <w:sz w:val="24"/>
          <w:szCs w:val="24"/>
        </w:rPr>
        <w:t xml:space="preserve"> šādam </w:t>
      </w:r>
      <w:r w:rsidRPr="003519F8">
        <w:rPr>
          <w:rFonts w:ascii="Times New Roman" w:hAnsi="Times New Roman"/>
          <w:color w:val="000000" w:themeColor="text1"/>
          <w:sz w:val="24"/>
          <w:szCs w:val="24"/>
        </w:rPr>
        <w:t>principam, izslēdzot pirmās un otrās prioritārajās grupās iekļautos.</w:t>
      </w:r>
      <w:r w:rsidR="00CE0756" w:rsidRPr="003519F8">
        <w:rPr>
          <w:rFonts w:ascii="Times New Roman" w:hAnsi="Times New Roman"/>
          <w:color w:val="000000" w:themeColor="text1"/>
          <w:sz w:val="24"/>
          <w:szCs w:val="24"/>
        </w:rPr>
        <w:t xml:space="preserve"> Pārējiem vakcīnas saņēmējiem norāda standarta Covid-19 vakcīnas manipulācijas</w:t>
      </w:r>
      <w:r w:rsidR="00CE0756" w:rsidRPr="00CE0756">
        <w:rPr>
          <w:rFonts w:ascii="Times New Roman" w:hAnsi="Times New Roman"/>
          <w:color w:val="FF0000"/>
          <w:sz w:val="24"/>
          <w:szCs w:val="24"/>
        </w:rPr>
        <w:t>.</w:t>
      </w:r>
    </w:p>
    <w:p w:rsidR="003519F8" w:rsidRPr="00CE0756" w:rsidRDefault="003519F8" w:rsidP="003519F8">
      <w:pPr>
        <w:spacing w:after="120" w:line="240" w:lineRule="auto"/>
        <w:jc w:val="both"/>
        <w:rPr>
          <w:rFonts w:ascii="Times New Roman" w:hAnsi="Times New Roman"/>
          <w:color w:val="FF0000"/>
          <w:sz w:val="24"/>
          <w:szCs w:val="24"/>
        </w:rPr>
      </w:pPr>
    </w:p>
    <w:p w:rsidR="00CE0756" w:rsidRPr="00CE0756" w:rsidRDefault="00CE0756" w:rsidP="003519F8">
      <w:pPr>
        <w:pStyle w:val="ListParagraph"/>
        <w:numPr>
          <w:ilvl w:val="0"/>
          <w:numId w:val="6"/>
        </w:numPr>
        <w:spacing w:after="120" w:line="240" w:lineRule="auto"/>
        <w:ind w:left="0"/>
        <w:rPr>
          <w:rFonts w:ascii="Times New Roman" w:hAnsi="Times New Roman"/>
          <w:b/>
          <w:bCs/>
          <w:sz w:val="24"/>
          <w:szCs w:val="24"/>
        </w:rPr>
      </w:pPr>
      <w:r w:rsidRPr="00CE0756">
        <w:rPr>
          <w:rFonts w:ascii="Times New Roman" w:hAnsi="Times New Roman"/>
          <w:b/>
          <w:bCs/>
          <w:sz w:val="24"/>
          <w:szCs w:val="24"/>
        </w:rPr>
        <w:t>Vai manipulācijas 03048 un 03049  var norādīt kopā?</w:t>
      </w:r>
    </w:p>
    <w:p w:rsidR="00621F51" w:rsidRDefault="00CE0756" w:rsidP="003519F8">
      <w:pPr>
        <w:spacing w:after="12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Jā, manipulācija 03048 apmaksā papildus ārsta darba laiku, bet manipulācija 03049 – māsas darba laiku. Ja pacienta apskati veic ārsta palīgs nevis ārsts, bet vakcīnu ievada māsa, tad manipulāciju 03049 norāda divas reizes.</w:t>
      </w:r>
    </w:p>
    <w:p w:rsidR="003519F8" w:rsidRDefault="003519F8" w:rsidP="003519F8">
      <w:pPr>
        <w:spacing w:after="120" w:line="240" w:lineRule="auto"/>
        <w:jc w:val="both"/>
        <w:rPr>
          <w:rFonts w:ascii="Times New Roman" w:hAnsi="Times New Roman" w:cs="Times New Roman"/>
          <w:color w:val="000000"/>
          <w:sz w:val="24"/>
          <w:szCs w:val="24"/>
          <w:lang w:eastAsia="lv-LV"/>
        </w:rPr>
      </w:pPr>
    </w:p>
    <w:p w:rsidR="00CE0756" w:rsidRPr="00CE0756" w:rsidRDefault="00CE0756" w:rsidP="003519F8">
      <w:pPr>
        <w:pStyle w:val="ListParagraph"/>
        <w:numPr>
          <w:ilvl w:val="0"/>
          <w:numId w:val="6"/>
        </w:numPr>
        <w:spacing w:after="120" w:line="240" w:lineRule="auto"/>
        <w:ind w:left="0"/>
        <w:jc w:val="both"/>
        <w:rPr>
          <w:rFonts w:ascii="Times New Roman" w:hAnsi="Times New Roman"/>
          <w:b/>
          <w:bCs/>
          <w:sz w:val="24"/>
          <w:szCs w:val="24"/>
        </w:rPr>
      </w:pPr>
      <w:r w:rsidRPr="00CE0756">
        <w:rPr>
          <w:rFonts w:ascii="Times New Roman" w:hAnsi="Times New Roman"/>
          <w:b/>
          <w:bCs/>
          <w:sz w:val="24"/>
          <w:szCs w:val="24"/>
        </w:rPr>
        <w:t>Kādēļ manipulācijā  60059 norādīts tieši ārsta palīgs?</w:t>
      </w:r>
    </w:p>
    <w:p w:rsidR="003519F8" w:rsidRDefault="00CE0756" w:rsidP="003519F8">
      <w:pPr>
        <w:spacing w:after="120" w:line="240" w:lineRule="auto"/>
        <w:jc w:val="both"/>
        <w:rPr>
          <w:rFonts w:ascii="Times New Roman" w:hAnsi="Times New Roman" w:cs="Times New Roman"/>
          <w:color w:val="000000"/>
          <w:sz w:val="24"/>
          <w:szCs w:val="24"/>
          <w:lang w:eastAsia="lv-LV"/>
        </w:rPr>
      </w:pPr>
      <w:r w:rsidRPr="00CE0756">
        <w:rPr>
          <w:rFonts w:ascii="Times New Roman" w:hAnsi="Times New Roman" w:cs="Times New Roman"/>
          <w:color w:val="000000"/>
          <w:sz w:val="24"/>
          <w:szCs w:val="24"/>
          <w:lang w:eastAsia="lv-LV"/>
        </w:rPr>
        <w:t xml:space="preserve">Dienests, konsultējoties ar speciālistiem, izvērtēja, ka ārsta palīgs ir visatbilstošākā persona vakcinācijas nodrošināšanai, jo ir kompetents veikt gan personas veselības stāvokļa novērtēšanu pirms vakcinācijas, gan veikt pasu vakcīnas ievadi un rīkoties patstāvīgi pirmās palīdzības sniegšanai </w:t>
      </w:r>
      <w:proofErr w:type="spellStart"/>
      <w:r w:rsidRPr="00CE0756">
        <w:rPr>
          <w:rFonts w:ascii="Times New Roman" w:hAnsi="Times New Roman" w:cs="Times New Roman"/>
          <w:color w:val="000000"/>
          <w:sz w:val="24"/>
          <w:szCs w:val="24"/>
          <w:lang w:eastAsia="lv-LV"/>
        </w:rPr>
        <w:t>anafilaktiskā</w:t>
      </w:r>
      <w:proofErr w:type="spellEnd"/>
      <w:r w:rsidRPr="00CE0756">
        <w:rPr>
          <w:rFonts w:ascii="Times New Roman" w:hAnsi="Times New Roman" w:cs="Times New Roman"/>
          <w:color w:val="000000"/>
          <w:sz w:val="24"/>
          <w:szCs w:val="24"/>
          <w:lang w:eastAsia="lv-LV"/>
        </w:rPr>
        <w:t xml:space="preserve"> šoka gadījumā.</w:t>
      </w:r>
    </w:p>
    <w:p w:rsidR="003519F8" w:rsidRDefault="003519F8" w:rsidP="003519F8">
      <w:pPr>
        <w:spacing w:after="120" w:line="240" w:lineRule="auto"/>
        <w:jc w:val="both"/>
        <w:rPr>
          <w:rFonts w:ascii="Times New Roman" w:hAnsi="Times New Roman" w:cs="Times New Roman"/>
          <w:color w:val="000000"/>
          <w:sz w:val="24"/>
          <w:szCs w:val="24"/>
          <w:lang w:eastAsia="lv-LV"/>
        </w:rPr>
      </w:pPr>
    </w:p>
    <w:p w:rsidR="00A11D08" w:rsidRPr="003519F8" w:rsidRDefault="00A11D08" w:rsidP="003519F8">
      <w:pPr>
        <w:pStyle w:val="ListParagraph"/>
        <w:numPr>
          <w:ilvl w:val="0"/>
          <w:numId w:val="6"/>
        </w:numPr>
        <w:spacing w:after="120" w:line="240" w:lineRule="auto"/>
        <w:ind w:left="0"/>
        <w:jc w:val="both"/>
        <w:rPr>
          <w:rFonts w:ascii="Times New Roman" w:hAnsi="Times New Roman"/>
          <w:b/>
          <w:bCs/>
          <w:sz w:val="24"/>
          <w:szCs w:val="24"/>
        </w:rPr>
      </w:pPr>
      <w:r w:rsidRPr="003519F8">
        <w:rPr>
          <w:rFonts w:ascii="Times New Roman" w:hAnsi="Times New Roman"/>
          <w:b/>
          <w:bCs/>
          <w:sz w:val="24"/>
          <w:szCs w:val="24"/>
        </w:rPr>
        <w:t>Kā tiek definēta piemaksa par darbu brīvdienās un svētku dienās (03048 un 03049)?</w:t>
      </w:r>
    </w:p>
    <w:p w:rsidR="003519F8" w:rsidRPr="003519F8" w:rsidRDefault="00A11D08" w:rsidP="003519F8">
      <w:pPr>
        <w:spacing w:after="120" w:line="240" w:lineRule="auto"/>
        <w:jc w:val="both"/>
        <w:rPr>
          <w:rFonts w:ascii="Times New Roman" w:hAnsi="Times New Roman" w:cs="Times New Roman"/>
          <w:color w:val="000000"/>
          <w:sz w:val="24"/>
          <w:szCs w:val="24"/>
          <w:lang w:eastAsia="lv-LV"/>
        </w:rPr>
      </w:pPr>
      <w:r w:rsidRPr="003519F8">
        <w:rPr>
          <w:rFonts w:ascii="Times New Roman" w:hAnsi="Times New Roman" w:cs="Times New Roman"/>
          <w:color w:val="000000"/>
          <w:sz w:val="24"/>
          <w:szCs w:val="24"/>
          <w:lang w:eastAsia="lv-LV"/>
        </w:rPr>
        <w:t>Manipulāciju apmaksā  par ārstniecības personas virsstundu darbu brīvdienās</w:t>
      </w:r>
      <w:r w:rsidR="00B76A9C" w:rsidRPr="003519F8">
        <w:rPr>
          <w:rFonts w:ascii="Times New Roman" w:hAnsi="Times New Roman" w:cs="Times New Roman"/>
          <w:color w:val="000000"/>
          <w:sz w:val="24"/>
          <w:szCs w:val="24"/>
          <w:lang w:eastAsia="lv-LV"/>
        </w:rPr>
        <w:t xml:space="preserve"> jeb atpūtas dienās</w:t>
      </w:r>
      <w:r w:rsidRPr="003519F8">
        <w:rPr>
          <w:rFonts w:ascii="Times New Roman" w:hAnsi="Times New Roman" w:cs="Times New Roman"/>
          <w:color w:val="000000"/>
          <w:sz w:val="24"/>
          <w:szCs w:val="24"/>
          <w:lang w:eastAsia="lv-LV"/>
        </w:rPr>
        <w:t xml:space="preserve"> vai darbu svētku dienā.</w:t>
      </w:r>
      <w:r w:rsidR="003519F8" w:rsidRPr="003519F8">
        <w:rPr>
          <w:rFonts w:ascii="Times New Roman" w:hAnsi="Times New Roman" w:cs="Times New Roman"/>
          <w:color w:val="000000"/>
          <w:sz w:val="24"/>
          <w:szCs w:val="24"/>
          <w:lang w:eastAsia="lv-LV"/>
        </w:rPr>
        <w:t xml:space="preserve"> Virsstundu darbs ir darbs, kuru darbinieks veic virs normālā darba laika. Piemaksas 03048 un 03049 norāda, ja vakcinācija tiek nodrošināta ārpus prakses darba laika, kas noteikts sasvstarpējā līguma ar NVD, piemēram, brīvdienās.</w:t>
      </w:r>
    </w:p>
    <w:p w:rsidR="003519F8" w:rsidRDefault="003519F8" w:rsidP="00B76A9C">
      <w:pPr>
        <w:ind w:left="-76"/>
        <w:jc w:val="both"/>
        <w:rPr>
          <w:rFonts w:ascii="Times New Roman" w:hAnsi="Times New Roman" w:cs="Times New Roman"/>
          <w:color w:val="FF0000"/>
          <w:sz w:val="24"/>
          <w:szCs w:val="24"/>
          <w:lang w:eastAsia="lv-LV"/>
        </w:rPr>
      </w:pPr>
    </w:p>
    <w:p w:rsidR="00A75D78" w:rsidRDefault="00A75D78" w:rsidP="00B76A9C">
      <w:pPr>
        <w:ind w:left="-76"/>
        <w:jc w:val="both"/>
        <w:rPr>
          <w:rFonts w:ascii="Times New Roman" w:hAnsi="Times New Roman" w:cs="Times New Roman"/>
          <w:color w:val="FF0000"/>
          <w:sz w:val="24"/>
          <w:szCs w:val="24"/>
          <w:lang w:eastAsia="lv-LV"/>
        </w:rPr>
      </w:pPr>
    </w:p>
    <w:p w:rsidR="00A75D78" w:rsidRDefault="00A75D78" w:rsidP="00A75D78">
      <w:pPr>
        <w:jc w:val="both"/>
        <w:rPr>
          <w:rFonts w:ascii="Times New Roman" w:hAnsi="Times New Roman" w:cs="Times New Roman"/>
          <w:color w:val="FF0000"/>
          <w:sz w:val="24"/>
          <w:szCs w:val="24"/>
          <w:lang w:eastAsia="lv-LV"/>
        </w:rPr>
      </w:pPr>
    </w:p>
    <w:p w:rsidR="00A11D08" w:rsidRPr="00B76A9C" w:rsidRDefault="00A11D08" w:rsidP="003519F8">
      <w:pPr>
        <w:jc w:val="both"/>
        <w:rPr>
          <w:rFonts w:ascii="Times New Roman" w:hAnsi="Times New Roman" w:cs="Times New Roman"/>
          <w:color w:val="FF0000"/>
          <w:sz w:val="24"/>
          <w:szCs w:val="24"/>
          <w:lang w:eastAsia="lv-LV"/>
        </w:rPr>
      </w:pPr>
    </w:p>
    <w:sectPr w:rsidR="00A11D08" w:rsidRPr="00B76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37936"/>
    <w:multiLevelType w:val="hybridMultilevel"/>
    <w:tmpl w:val="DFBC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1607C8"/>
    <w:multiLevelType w:val="hybridMultilevel"/>
    <w:tmpl w:val="C3808920"/>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C5862A6"/>
    <w:multiLevelType w:val="multilevel"/>
    <w:tmpl w:val="A4C47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CD5742"/>
    <w:multiLevelType w:val="hybridMultilevel"/>
    <w:tmpl w:val="C4CA0676"/>
    <w:lvl w:ilvl="0" w:tplc="3728717A">
      <w:start w:val="1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0008DB"/>
    <w:multiLevelType w:val="multilevel"/>
    <w:tmpl w:val="D7B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80BAB"/>
    <w:multiLevelType w:val="multilevel"/>
    <w:tmpl w:val="AD4C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BA7A2F"/>
    <w:multiLevelType w:val="multilevel"/>
    <w:tmpl w:val="523C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6219E7"/>
    <w:multiLevelType w:val="hybridMultilevel"/>
    <w:tmpl w:val="9670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51"/>
    <w:rsid w:val="0016751B"/>
    <w:rsid w:val="0023772A"/>
    <w:rsid w:val="00287A44"/>
    <w:rsid w:val="003519F8"/>
    <w:rsid w:val="003E33A5"/>
    <w:rsid w:val="00495EB6"/>
    <w:rsid w:val="00621F51"/>
    <w:rsid w:val="008A7F28"/>
    <w:rsid w:val="008C427D"/>
    <w:rsid w:val="009046D6"/>
    <w:rsid w:val="00956E5C"/>
    <w:rsid w:val="00980A64"/>
    <w:rsid w:val="00A11D08"/>
    <w:rsid w:val="00A13324"/>
    <w:rsid w:val="00A75D78"/>
    <w:rsid w:val="00B76A9C"/>
    <w:rsid w:val="00BD385F"/>
    <w:rsid w:val="00CA4049"/>
    <w:rsid w:val="00CE0756"/>
    <w:rsid w:val="00EC5832"/>
    <w:rsid w:val="00ED7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CD8D"/>
  <w15:chartTrackingRefBased/>
  <w15:docId w15:val="{CC6BECC1-DA1E-4B97-83A7-D6BF0B6D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51"/>
    <w:pPr>
      <w:ind w:left="720"/>
      <w:contextualSpacing/>
    </w:pPr>
  </w:style>
  <w:style w:type="paragraph" w:customStyle="1" w:styleId="msonormal804d7de8fd46f06a46511c7c60d1535e">
    <w:name w:val="msonormal_804d7de8fd46f06a46511c7c60d1535e"/>
    <w:basedOn w:val="Normal"/>
    <w:rsid w:val="008C427D"/>
    <w:pPr>
      <w:spacing w:after="0" w:line="240" w:lineRule="auto"/>
    </w:pPr>
    <w:rPr>
      <w:rFonts w:ascii="Calibri" w:hAnsi="Calibri" w:cs="Calibri"/>
      <w:lang w:eastAsia="lv-LV"/>
    </w:rPr>
  </w:style>
  <w:style w:type="character" w:styleId="CommentReference">
    <w:name w:val="annotation reference"/>
    <w:basedOn w:val="DefaultParagraphFont"/>
    <w:uiPriority w:val="99"/>
    <w:semiHidden/>
    <w:unhideWhenUsed/>
    <w:rsid w:val="009046D6"/>
    <w:rPr>
      <w:sz w:val="16"/>
      <w:szCs w:val="16"/>
    </w:rPr>
  </w:style>
  <w:style w:type="paragraph" w:styleId="CommentText">
    <w:name w:val="annotation text"/>
    <w:basedOn w:val="Normal"/>
    <w:link w:val="CommentTextChar"/>
    <w:uiPriority w:val="99"/>
    <w:semiHidden/>
    <w:unhideWhenUsed/>
    <w:rsid w:val="009046D6"/>
    <w:pPr>
      <w:spacing w:line="240" w:lineRule="auto"/>
    </w:pPr>
    <w:rPr>
      <w:sz w:val="20"/>
      <w:szCs w:val="20"/>
    </w:rPr>
  </w:style>
  <w:style w:type="character" w:customStyle="1" w:styleId="CommentTextChar">
    <w:name w:val="Comment Text Char"/>
    <w:basedOn w:val="DefaultParagraphFont"/>
    <w:link w:val="CommentText"/>
    <w:uiPriority w:val="99"/>
    <w:semiHidden/>
    <w:rsid w:val="009046D6"/>
    <w:rPr>
      <w:sz w:val="20"/>
      <w:szCs w:val="20"/>
    </w:rPr>
  </w:style>
  <w:style w:type="paragraph" w:styleId="CommentSubject">
    <w:name w:val="annotation subject"/>
    <w:basedOn w:val="CommentText"/>
    <w:next w:val="CommentText"/>
    <w:link w:val="CommentSubjectChar"/>
    <w:uiPriority w:val="99"/>
    <w:semiHidden/>
    <w:unhideWhenUsed/>
    <w:rsid w:val="009046D6"/>
    <w:rPr>
      <w:b/>
      <w:bCs/>
    </w:rPr>
  </w:style>
  <w:style w:type="character" w:customStyle="1" w:styleId="CommentSubjectChar">
    <w:name w:val="Comment Subject Char"/>
    <w:basedOn w:val="CommentTextChar"/>
    <w:link w:val="CommentSubject"/>
    <w:uiPriority w:val="99"/>
    <w:semiHidden/>
    <w:rsid w:val="009046D6"/>
    <w:rPr>
      <w:b/>
      <w:bCs/>
      <w:sz w:val="20"/>
      <w:szCs w:val="20"/>
    </w:rPr>
  </w:style>
  <w:style w:type="paragraph" w:styleId="BalloonText">
    <w:name w:val="Balloon Text"/>
    <w:basedOn w:val="Normal"/>
    <w:link w:val="BalloonTextChar"/>
    <w:uiPriority w:val="99"/>
    <w:semiHidden/>
    <w:unhideWhenUsed/>
    <w:rsid w:val="0090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5619">
      <w:bodyDiv w:val="1"/>
      <w:marLeft w:val="0"/>
      <w:marRight w:val="0"/>
      <w:marTop w:val="0"/>
      <w:marBottom w:val="0"/>
      <w:divBdr>
        <w:top w:val="none" w:sz="0" w:space="0" w:color="auto"/>
        <w:left w:val="none" w:sz="0" w:space="0" w:color="auto"/>
        <w:bottom w:val="none" w:sz="0" w:space="0" w:color="auto"/>
        <w:right w:val="none" w:sz="0" w:space="0" w:color="auto"/>
      </w:divBdr>
    </w:div>
    <w:div w:id="748163387">
      <w:bodyDiv w:val="1"/>
      <w:marLeft w:val="0"/>
      <w:marRight w:val="0"/>
      <w:marTop w:val="0"/>
      <w:marBottom w:val="0"/>
      <w:divBdr>
        <w:top w:val="none" w:sz="0" w:space="0" w:color="auto"/>
        <w:left w:val="none" w:sz="0" w:space="0" w:color="auto"/>
        <w:bottom w:val="none" w:sz="0" w:space="0" w:color="auto"/>
        <w:right w:val="none" w:sz="0" w:space="0" w:color="auto"/>
      </w:divBdr>
    </w:div>
    <w:div w:id="1065959040">
      <w:bodyDiv w:val="1"/>
      <w:marLeft w:val="0"/>
      <w:marRight w:val="0"/>
      <w:marTop w:val="0"/>
      <w:marBottom w:val="0"/>
      <w:divBdr>
        <w:top w:val="none" w:sz="0" w:space="0" w:color="auto"/>
        <w:left w:val="none" w:sz="0" w:space="0" w:color="auto"/>
        <w:bottom w:val="none" w:sz="0" w:space="0" w:color="auto"/>
        <w:right w:val="none" w:sz="0" w:space="0" w:color="auto"/>
      </w:divBdr>
    </w:div>
    <w:div w:id="1098595247">
      <w:bodyDiv w:val="1"/>
      <w:marLeft w:val="0"/>
      <w:marRight w:val="0"/>
      <w:marTop w:val="0"/>
      <w:marBottom w:val="0"/>
      <w:divBdr>
        <w:top w:val="none" w:sz="0" w:space="0" w:color="auto"/>
        <w:left w:val="none" w:sz="0" w:space="0" w:color="auto"/>
        <w:bottom w:val="none" w:sz="0" w:space="0" w:color="auto"/>
        <w:right w:val="none" w:sz="0" w:space="0" w:color="auto"/>
      </w:divBdr>
    </w:div>
    <w:div w:id="1133407160">
      <w:bodyDiv w:val="1"/>
      <w:marLeft w:val="0"/>
      <w:marRight w:val="0"/>
      <w:marTop w:val="0"/>
      <w:marBottom w:val="0"/>
      <w:divBdr>
        <w:top w:val="none" w:sz="0" w:space="0" w:color="auto"/>
        <w:left w:val="none" w:sz="0" w:space="0" w:color="auto"/>
        <w:bottom w:val="none" w:sz="0" w:space="0" w:color="auto"/>
        <w:right w:val="none" w:sz="0" w:space="0" w:color="auto"/>
      </w:divBdr>
    </w:div>
    <w:div w:id="1288773948">
      <w:bodyDiv w:val="1"/>
      <w:marLeft w:val="0"/>
      <w:marRight w:val="0"/>
      <w:marTop w:val="0"/>
      <w:marBottom w:val="0"/>
      <w:divBdr>
        <w:top w:val="none" w:sz="0" w:space="0" w:color="auto"/>
        <w:left w:val="none" w:sz="0" w:space="0" w:color="auto"/>
        <w:bottom w:val="none" w:sz="0" w:space="0" w:color="auto"/>
        <w:right w:val="none" w:sz="0" w:space="0" w:color="auto"/>
      </w:divBdr>
    </w:div>
    <w:div w:id="1290673292">
      <w:bodyDiv w:val="1"/>
      <w:marLeft w:val="0"/>
      <w:marRight w:val="0"/>
      <w:marTop w:val="0"/>
      <w:marBottom w:val="0"/>
      <w:divBdr>
        <w:top w:val="none" w:sz="0" w:space="0" w:color="auto"/>
        <w:left w:val="none" w:sz="0" w:space="0" w:color="auto"/>
        <w:bottom w:val="none" w:sz="0" w:space="0" w:color="auto"/>
        <w:right w:val="none" w:sz="0" w:space="0" w:color="auto"/>
      </w:divBdr>
    </w:div>
    <w:div w:id="1944724119">
      <w:bodyDiv w:val="1"/>
      <w:marLeft w:val="0"/>
      <w:marRight w:val="0"/>
      <w:marTop w:val="0"/>
      <w:marBottom w:val="0"/>
      <w:divBdr>
        <w:top w:val="none" w:sz="0" w:space="0" w:color="auto"/>
        <w:left w:val="none" w:sz="0" w:space="0" w:color="auto"/>
        <w:bottom w:val="none" w:sz="0" w:space="0" w:color="auto"/>
        <w:right w:val="none" w:sz="0" w:space="0" w:color="auto"/>
      </w:divBdr>
    </w:div>
    <w:div w:id="21294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2047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Baškevica</dc:creator>
  <cp:keywords/>
  <dc:description/>
  <cp:lastModifiedBy>Anna Karolīna Šaule</cp:lastModifiedBy>
  <cp:revision>1</cp:revision>
  <dcterms:created xsi:type="dcterms:W3CDTF">2021-02-22T23:54:00Z</dcterms:created>
  <dcterms:modified xsi:type="dcterms:W3CDTF">2021-02-22T23:54:00Z</dcterms:modified>
</cp:coreProperties>
</file>