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E77DC" w14:textId="7ACAEFD8" w:rsidR="000F547D" w:rsidRDefault="00A029DD" w:rsidP="00A029DD">
      <w:pPr>
        <w:jc w:val="center"/>
        <w:rPr>
          <w:rFonts w:ascii="Times New Roman" w:eastAsia="Times New Roman" w:hAnsi="Times New Roman" w:cs="Times New Roman"/>
          <w:b/>
          <w:bCs/>
          <w:sz w:val="24"/>
          <w:szCs w:val="24"/>
        </w:rPr>
      </w:pPr>
      <w:r w:rsidRPr="319E1DB2">
        <w:rPr>
          <w:rFonts w:ascii="Times New Roman" w:eastAsia="Times New Roman" w:hAnsi="Times New Roman" w:cs="Times New Roman"/>
          <w:b/>
          <w:bCs/>
          <w:sz w:val="24"/>
          <w:szCs w:val="24"/>
        </w:rPr>
        <w:t>Paliatīvās aprūpes mobilās komandas pakalpojumu pacienta dzīvesvietā</w:t>
      </w:r>
      <w:r>
        <w:rPr>
          <w:rFonts w:ascii="Times New Roman" w:eastAsia="Times New Roman" w:hAnsi="Times New Roman" w:cs="Times New Roman"/>
          <w:b/>
          <w:bCs/>
          <w:sz w:val="24"/>
          <w:szCs w:val="24"/>
        </w:rPr>
        <w:t xml:space="preserve"> veselības aprūpes pakalpojumu kvalitātes vērtēšanas kritēriji.</w:t>
      </w:r>
    </w:p>
    <w:p w14:paraId="5C593B6F" w14:textId="77777777" w:rsidR="00A029DD" w:rsidRDefault="00A029DD" w:rsidP="00A029DD">
      <w:pPr>
        <w:jc w:val="center"/>
        <w:rPr>
          <w:rFonts w:ascii="Times New Roman" w:eastAsia="Times New Roman" w:hAnsi="Times New Roman" w:cs="Times New Roman"/>
          <w:b/>
          <w:bCs/>
          <w:sz w:val="24"/>
          <w:szCs w:val="24"/>
        </w:rPr>
      </w:pPr>
    </w:p>
    <w:p w14:paraId="56601D37" w14:textId="12CBCF68" w:rsidR="00A029DD" w:rsidRPr="00A029DD" w:rsidRDefault="00A029DD" w:rsidP="006E6E28">
      <w:pPr>
        <w:pStyle w:val="ListParagraph"/>
        <w:numPr>
          <w:ilvl w:val="1"/>
          <w:numId w:val="1"/>
        </w:numPr>
        <w:jc w:val="both"/>
        <w:rPr>
          <w:rFonts w:ascii="Times New Roman" w:hAnsi="Times New Roman" w:cs="Times New Roman"/>
          <w:sz w:val="24"/>
          <w:szCs w:val="24"/>
        </w:rPr>
      </w:pPr>
      <w:r w:rsidRPr="00A029DD">
        <w:rPr>
          <w:rFonts w:ascii="Times New Roman" w:hAnsi="Times New Roman" w:cs="Times New Roman"/>
          <w:sz w:val="24"/>
          <w:szCs w:val="24"/>
        </w:rPr>
        <w:t>Pakalpojuma kvalitātes vērtēšanas kritēriji tiek vērtēti reizi gadā un DIENESTS ir tiesīgs pārskatīt līguma nosacījumus vai pārtraukt līgumu par pakalpojumu sniegšanu, ja vērtēšanas kritēriji ir nepieņemamā līmenī atbilstoši norādītajiem mērķa rādītājiem.</w:t>
      </w:r>
    </w:p>
    <w:p w14:paraId="404DA89D" w14:textId="77777777" w:rsidR="00A029DD" w:rsidRPr="00A029DD" w:rsidRDefault="00A029DD" w:rsidP="00A029DD">
      <w:pPr>
        <w:pStyle w:val="ListParagraph"/>
        <w:numPr>
          <w:ilvl w:val="1"/>
          <w:numId w:val="1"/>
        </w:numPr>
        <w:spacing w:after="0" w:line="240" w:lineRule="auto"/>
        <w:jc w:val="both"/>
        <w:rPr>
          <w:rFonts w:ascii="Times New Roman" w:hAnsi="Times New Roman" w:cs="Times New Roman"/>
          <w:sz w:val="24"/>
          <w:szCs w:val="24"/>
        </w:rPr>
      </w:pPr>
      <w:r w:rsidRPr="00A029DD">
        <w:rPr>
          <w:rFonts w:ascii="Times New Roman" w:hAnsi="Times New Roman" w:cs="Times New Roman"/>
          <w:sz w:val="24"/>
          <w:szCs w:val="24"/>
        </w:rPr>
        <w:t>Dienests ir tiesīgs noteikt papildu kritērijus vai mainīt esošos, par to iepriekš rakstiski informējot IZPILDĪTĀJU.</w:t>
      </w:r>
    </w:p>
    <w:p w14:paraId="7E4A5C82" w14:textId="77777777" w:rsidR="00A029DD" w:rsidRPr="00A029DD" w:rsidRDefault="00A029DD" w:rsidP="00A029DD">
      <w:pPr>
        <w:pStyle w:val="ListParagraph"/>
        <w:numPr>
          <w:ilvl w:val="1"/>
          <w:numId w:val="1"/>
        </w:numPr>
        <w:spacing w:after="0" w:line="240" w:lineRule="auto"/>
        <w:jc w:val="both"/>
        <w:rPr>
          <w:rFonts w:ascii="Times New Roman" w:hAnsi="Times New Roman" w:cs="Times New Roman"/>
          <w:sz w:val="24"/>
          <w:szCs w:val="24"/>
        </w:rPr>
      </w:pPr>
      <w:r w:rsidRPr="00A029DD">
        <w:rPr>
          <w:rFonts w:ascii="Times New Roman" w:hAnsi="Times New Roman" w:cs="Times New Roman"/>
          <w:sz w:val="24"/>
          <w:szCs w:val="24"/>
        </w:rPr>
        <w:t>Kritēriju aprēķina metodika:</w:t>
      </w:r>
    </w:p>
    <w:p w14:paraId="05CBE064" w14:textId="77777777" w:rsidR="00A029DD" w:rsidRPr="00A029DD" w:rsidRDefault="00A029DD" w:rsidP="00A029DD">
      <w:pPr>
        <w:pStyle w:val="ListParagraph"/>
        <w:rPr>
          <w:rFonts w:ascii="Times New Roman" w:hAnsi="Times New Roman" w:cs="Times New Roman"/>
          <w:sz w:val="24"/>
          <w:szCs w:val="24"/>
          <w:u w:val="single"/>
        </w:rPr>
      </w:pPr>
    </w:p>
    <w:p w14:paraId="796C04DC" w14:textId="4F003DF6" w:rsidR="00A029DD" w:rsidRPr="00A029DD" w:rsidRDefault="00A029DD" w:rsidP="00A029DD">
      <w:pPr>
        <w:pStyle w:val="ListParagraph"/>
        <w:numPr>
          <w:ilvl w:val="1"/>
          <w:numId w:val="2"/>
        </w:numPr>
        <w:spacing w:after="0" w:line="240" w:lineRule="auto"/>
        <w:jc w:val="both"/>
        <w:rPr>
          <w:rFonts w:ascii="Times New Roman" w:hAnsi="Times New Roman" w:cs="Times New Roman"/>
          <w:sz w:val="24"/>
          <w:szCs w:val="24"/>
        </w:rPr>
      </w:pPr>
      <w:r w:rsidRPr="00A029DD">
        <w:rPr>
          <w:rFonts w:ascii="Times New Roman" w:hAnsi="Times New Roman" w:cs="Times New Roman"/>
          <w:sz w:val="24"/>
          <w:szCs w:val="24"/>
          <w:u w:val="single"/>
        </w:rPr>
        <w:t>Neatliekamā medicīniskā palīdzības dienesta (turpmāk – NMPD) izsaukumu skaita īpatsvars</w:t>
      </w:r>
      <w:r w:rsidRPr="00A029DD">
        <w:rPr>
          <w:rFonts w:ascii="Times New Roman" w:hAnsi="Times New Roman" w:cs="Times New Roman"/>
          <w:sz w:val="24"/>
          <w:szCs w:val="24"/>
        </w:rPr>
        <w:t xml:space="preserve"> - unikālo konkrētā reģiona pacientu, kuri saņem paliatīvās aprūpes mobilās komandas pakalpojumu pacienta dzīvesvietā, NMPD gadījumu īpatsvars (%) no kopējā paliatīvās aprūpes mobilās komandas pacientu skaita konkrētajā periodā:</w:t>
      </w:r>
    </w:p>
    <w:p w14:paraId="40037664" w14:textId="77777777" w:rsidR="00A029DD" w:rsidRPr="00A029DD" w:rsidRDefault="00A029DD" w:rsidP="00A029DD">
      <w:pPr>
        <w:rPr>
          <w:rFonts w:ascii="Times New Roman" w:hAnsi="Times New Roman" w:cs="Times New Roman"/>
          <w:sz w:val="24"/>
          <w:szCs w:val="24"/>
        </w:rPr>
      </w:pPr>
      <w:r w:rsidRPr="00A029DD">
        <w:rPr>
          <w:rFonts w:ascii="Times New Roman" w:hAnsi="Times New Roman" w:cs="Times New Roman"/>
          <w:sz w:val="24"/>
          <w:szCs w:val="24"/>
        </w:rPr>
        <w:t>Aprēķins:   </w:t>
      </w:r>
      <m:oMath>
        <m:r>
          <w:rPr>
            <w:rFonts w:ascii="Cambria Math" w:hAnsi="Cambria Math" w:cs="Times New Roman"/>
            <w:sz w:val="24"/>
            <w:szCs w:val="24"/>
          </w:rPr>
          <m:t> </m:t>
        </m:r>
        <m:r>
          <m:rPr>
            <m:sty m:val="p"/>
          </m:rPr>
          <w:rPr>
            <w:rFonts w:ascii="Cambria Math" w:hAnsi="Cambria Math" w:cs="Times New Roman"/>
            <w:sz w:val="24"/>
            <w:szCs w:val="24"/>
          </w:rPr>
          <m:t xml:space="preserve">NMPD izsaukumu īpatsvars </m:t>
        </m:r>
        <m:d>
          <m:dPr>
            <m:ctrlPr>
              <w:rPr>
                <w:rFonts w:ascii="Cambria Math" w:hAnsi="Cambria Math" w:cs="Times New Roman"/>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m:t>
        </m:r>
        <m:f>
          <m:fPr>
            <m:ctrlPr>
              <w:rPr>
                <w:rFonts w:ascii="Cambria Math" w:hAnsi="Cambria Math" w:cs="Times New Roman"/>
                <w:sz w:val="24"/>
                <w:szCs w:val="24"/>
              </w:rPr>
            </m:ctrlPr>
          </m:fPr>
          <m:num>
            <m:eqArr>
              <m:eqArrPr>
                <m:ctrlPr>
                  <w:rPr>
                    <w:rFonts w:ascii="Cambria Math" w:hAnsi="Cambria Math" w:cs="Times New Roman"/>
                    <w:sz w:val="24"/>
                    <w:szCs w:val="24"/>
                  </w:rPr>
                </m:ctrlPr>
              </m:eqArrPr>
              <m:e>
                <m:r>
                  <m:rPr>
                    <m:sty m:val="p"/>
                  </m:rPr>
                  <w:rPr>
                    <w:rFonts w:ascii="Cambria Math" w:hAnsi="Cambria Math" w:cs="Times New Roman"/>
                    <w:sz w:val="24"/>
                    <w:szCs w:val="24"/>
                  </w:rPr>
                  <m:t xml:space="preserve">NMPD izsaukumu skaits </m:t>
                </m:r>
              </m:e>
              <m:e/>
            </m:eqArr>
          </m:num>
          <m:den>
            <m:eqArr>
              <m:eqArrPr>
                <m:ctrlPr>
                  <w:rPr>
                    <w:rFonts w:ascii="Cambria Math" w:hAnsi="Cambria Math" w:cs="Times New Roman"/>
                    <w:sz w:val="24"/>
                    <w:szCs w:val="24"/>
                  </w:rPr>
                </m:ctrlPr>
              </m:eqArrPr>
              <m:e>
                <m:r>
                  <m:rPr>
                    <m:sty m:val="p"/>
                  </m:rPr>
                  <w:rPr>
                    <w:rFonts w:ascii="Cambria Math" w:hAnsi="Cambria Math" w:cs="Times New Roman"/>
                    <w:sz w:val="24"/>
                    <w:szCs w:val="24"/>
                  </w:rPr>
                  <m:t xml:space="preserve">kopējais pacientu </m:t>
                </m:r>
              </m:e>
              <m:e>
                <m:r>
                  <m:rPr>
                    <m:sty m:val="p"/>
                  </m:rPr>
                  <w:rPr>
                    <w:rFonts w:ascii="Cambria Math" w:hAnsi="Cambria Math" w:cs="Times New Roman"/>
                    <w:sz w:val="24"/>
                    <w:szCs w:val="24"/>
                  </w:rPr>
                  <m:t>skaits iestādē</m:t>
                </m:r>
              </m:e>
            </m:eqArr>
          </m:den>
        </m:f>
        <m:r>
          <m:rPr>
            <m:sty m:val="p"/>
          </m:rPr>
          <w:rPr>
            <w:rFonts w:ascii="Cambria Math" w:hAnsi="Cambria Math" w:cs="Times New Roman"/>
            <w:sz w:val="24"/>
            <w:szCs w:val="24"/>
          </w:rPr>
          <m:t>*100</m:t>
        </m:r>
      </m:oMath>
    </w:p>
    <w:p w14:paraId="5FE1A794" w14:textId="77777777" w:rsidR="00A029DD" w:rsidRPr="00A029DD" w:rsidRDefault="00A029DD" w:rsidP="00A029DD">
      <w:pPr>
        <w:rPr>
          <w:rFonts w:ascii="Times New Roman" w:hAnsi="Times New Roman" w:cs="Times New Roman"/>
          <w:sz w:val="24"/>
          <w:szCs w:val="24"/>
        </w:rPr>
      </w:pPr>
    </w:p>
    <w:p w14:paraId="6EE6BD04" w14:textId="77777777" w:rsidR="00A029DD" w:rsidRPr="00A029DD" w:rsidRDefault="00A029DD" w:rsidP="00A029DD">
      <w:pPr>
        <w:pStyle w:val="ListParagraph"/>
        <w:ind w:left="716"/>
        <w:jc w:val="both"/>
        <w:rPr>
          <w:rFonts w:ascii="Times New Roman" w:hAnsi="Times New Roman" w:cs="Times New Roman"/>
          <w:sz w:val="24"/>
          <w:szCs w:val="24"/>
        </w:rPr>
      </w:pPr>
    </w:p>
    <w:p w14:paraId="24EE4402" w14:textId="347F95F2" w:rsidR="00A029DD" w:rsidRPr="00A029DD" w:rsidRDefault="00A029DD" w:rsidP="00A029DD">
      <w:pPr>
        <w:pStyle w:val="ListParagraph"/>
        <w:numPr>
          <w:ilvl w:val="1"/>
          <w:numId w:val="2"/>
        </w:numPr>
        <w:spacing w:after="0" w:line="240" w:lineRule="auto"/>
        <w:jc w:val="both"/>
        <w:rPr>
          <w:rFonts w:ascii="Times New Roman" w:hAnsi="Times New Roman" w:cs="Times New Roman"/>
          <w:sz w:val="24"/>
          <w:szCs w:val="24"/>
        </w:rPr>
      </w:pPr>
      <w:r w:rsidRPr="00A029DD">
        <w:rPr>
          <w:rFonts w:ascii="Times New Roman" w:hAnsi="Times New Roman" w:cs="Times New Roman"/>
          <w:sz w:val="24"/>
          <w:szCs w:val="24"/>
          <w:u w:val="single"/>
        </w:rPr>
        <w:t>Neatliekamo hospitalizāciju skaita īpatsvars</w:t>
      </w:r>
      <w:r w:rsidRPr="00A029DD">
        <w:rPr>
          <w:rFonts w:ascii="Times New Roman" w:hAnsi="Times New Roman" w:cs="Times New Roman"/>
          <w:sz w:val="24"/>
          <w:szCs w:val="24"/>
        </w:rPr>
        <w:t xml:space="preserve"> – unikālo konkrētā reģiona pacientu, kuri saņem paliatīvās aprūpes mobilās komandas pakalpojumu pacienta dzīvesvietā, akūti (neatliekami) </w:t>
      </w:r>
      <w:proofErr w:type="spellStart"/>
      <w:r w:rsidRPr="00A029DD">
        <w:rPr>
          <w:rFonts w:ascii="Times New Roman" w:hAnsi="Times New Roman" w:cs="Times New Roman"/>
          <w:sz w:val="24"/>
          <w:szCs w:val="24"/>
        </w:rPr>
        <w:t>stacionēto</w:t>
      </w:r>
      <w:proofErr w:type="spellEnd"/>
      <w:r w:rsidRPr="00A029DD">
        <w:rPr>
          <w:rFonts w:ascii="Times New Roman" w:hAnsi="Times New Roman" w:cs="Times New Roman"/>
          <w:sz w:val="24"/>
          <w:szCs w:val="24"/>
        </w:rPr>
        <w:t xml:space="preserve"> gadījumu īpatsvars (%) no kopējā paliatīvās aprūpes mobilās komandas pacientu skaita konkrētajā periodā:</w:t>
      </w:r>
    </w:p>
    <w:p w14:paraId="63B3B673" w14:textId="77777777" w:rsidR="00A029DD" w:rsidRPr="00A029DD" w:rsidRDefault="00A029DD" w:rsidP="00A029DD">
      <w:pPr>
        <w:rPr>
          <w:rFonts w:ascii="Times New Roman" w:hAnsi="Times New Roman" w:cs="Times New Roman"/>
          <w:sz w:val="24"/>
          <w:szCs w:val="24"/>
        </w:rPr>
      </w:pPr>
      <w:r w:rsidRPr="00A029DD">
        <w:rPr>
          <w:rFonts w:ascii="Times New Roman" w:hAnsi="Times New Roman" w:cs="Times New Roman"/>
          <w:sz w:val="24"/>
          <w:szCs w:val="24"/>
        </w:rPr>
        <w:t>Aprēķins:   </w:t>
      </w:r>
      <m:oMath>
        <m:r>
          <w:rPr>
            <w:rFonts w:ascii="Cambria Math" w:hAnsi="Cambria Math" w:cs="Times New Roman"/>
            <w:sz w:val="24"/>
            <w:szCs w:val="24"/>
          </w:rPr>
          <m:t> </m:t>
        </m:r>
        <m:d>
          <m:dPr>
            <m:ctrlPr>
              <w:rPr>
                <w:rFonts w:ascii="Cambria Math" w:hAnsi="Cambria Math" w:cs="Times New Roman"/>
                <w:sz w:val="24"/>
                <w:szCs w:val="24"/>
              </w:rPr>
            </m:ctrlPr>
          </m:dPr>
          <m:e>
            <m:r>
              <m:rPr>
                <m:sty m:val="p"/>
              </m:rPr>
              <w:rPr>
                <w:rFonts w:ascii="Cambria Math" w:hAnsi="Cambria Math" w:cs="Times New Roman"/>
                <w:sz w:val="24"/>
                <w:szCs w:val="24"/>
              </w:rPr>
              <m:t>neatliekami, akūti</m:t>
            </m:r>
          </m:e>
        </m:d>
        <m:r>
          <m:rPr>
            <m:sty m:val="p"/>
          </m:rPr>
          <w:rPr>
            <w:rFonts w:ascii="Cambria Math" w:hAnsi="Cambria Math" w:cs="Times New Roman"/>
            <w:sz w:val="24"/>
            <w:szCs w:val="24"/>
          </w:rPr>
          <m:t xml:space="preserve"> stacionēto pacientu īpatsvars </m:t>
        </m:r>
        <m:d>
          <m:dPr>
            <m:ctrlPr>
              <w:rPr>
                <w:rFonts w:ascii="Cambria Math" w:hAnsi="Cambria Math" w:cs="Times New Roman"/>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m:t>
        </m:r>
        <m:f>
          <m:fPr>
            <m:ctrlPr>
              <w:rPr>
                <w:rFonts w:ascii="Cambria Math" w:hAnsi="Cambria Math" w:cs="Times New Roman"/>
                <w:sz w:val="24"/>
                <w:szCs w:val="24"/>
              </w:rPr>
            </m:ctrlPr>
          </m:fPr>
          <m:num>
            <m:eqArr>
              <m:eqArrPr>
                <m:ctrlPr>
                  <w:rPr>
                    <w:rFonts w:ascii="Cambria Math" w:hAnsi="Cambria Math" w:cs="Times New Roman"/>
                    <w:sz w:val="24"/>
                    <w:szCs w:val="24"/>
                  </w:rPr>
                </m:ctrlPr>
              </m:eqArrPr>
              <m:e>
                <m:r>
                  <m:rPr>
                    <m:sty m:val="p"/>
                  </m:rPr>
                  <w:rPr>
                    <w:rFonts w:ascii="Cambria Math" w:hAnsi="Cambria Math" w:cs="Times New Roman"/>
                    <w:sz w:val="24"/>
                    <w:szCs w:val="24"/>
                  </w:rPr>
                  <m:t xml:space="preserve">stacionēto gadījumu skaits </m:t>
                </m:r>
              </m:e>
              <m:e/>
            </m:eqArr>
          </m:num>
          <m:den>
            <m:eqArr>
              <m:eqArrPr>
                <m:ctrlPr>
                  <w:rPr>
                    <w:rFonts w:ascii="Cambria Math" w:hAnsi="Cambria Math" w:cs="Times New Roman"/>
                    <w:sz w:val="24"/>
                    <w:szCs w:val="24"/>
                  </w:rPr>
                </m:ctrlPr>
              </m:eqArrPr>
              <m:e>
                <m:r>
                  <m:rPr>
                    <m:sty m:val="p"/>
                  </m:rPr>
                  <w:rPr>
                    <w:rFonts w:ascii="Cambria Math" w:hAnsi="Cambria Math" w:cs="Times New Roman"/>
                    <w:sz w:val="24"/>
                    <w:szCs w:val="24"/>
                  </w:rPr>
                  <m:t xml:space="preserve">kopējais pacientu </m:t>
                </m:r>
              </m:e>
              <m:e>
                <m:r>
                  <m:rPr>
                    <m:sty m:val="p"/>
                  </m:rPr>
                  <w:rPr>
                    <w:rFonts w:ascii="Cambria Math" w:hAnsi="Cambria Math" w:cs="Times New Roman"/>
                    <w:sz w:val="24"/>
                    <w:szCs w:val="24"/>
                  </w:rPr>
                  <m:t>skaits iestādē</m:t>
                </m:r>
              </m:e>
            </m:eqArr>
          </m:den>
        </m:f>
        <m:r>
          <m:rPr>
            <m:sty m:val="p"/>
          </m:rPr>
          <w:rPr>
            <w:rFonts w:ascii="Cambria Math" w:hAnsi="Cambria Math" w:cs="Times New Roman"/>
            <w:sz w:val="24"/>
            <w:szCs w:val="24"/>
          </w:rPr>
          <m:t>*100</m:t>
        </m:r>
      </m:oMath>
    </w:p>
    <w:p w14:paraId="006B3CB0" w14:textId="77777777" w:rsidR="00A029DD" w:rsidRPr="00A029DD" w:rsidRDefault="00A029DD" w:rsidP="00A029DD">
      <w:pPr>
        <w:pStyle w:val="ListParagraph"/>
        <w:ind w:left="716"/>
        <w:jc w:val="both"/>
        <w:rPr>
          <w:rFonts w:ascii="Times New Roman" w:hAnsi="Times New Roman" w:cs="Times New Roman"/>
          <w:sz w:val="24"/>
          <w:szCs w:val="24"/>
        </w:rPr>
      </w:pPr>
    </w:p>
    <w:p w14:paraId="2D03D66C" w14:textId="45758848" w:rsidR="00A029DD" w:rsidRPr="00A029DD" w:rsidRDefault="00A029DD" w:rsidP="00A029DD">
      <w:pPr>
        <w:pStyle w:val="ListParagraph"/>
        <w:numPr>
          <w:ilvl w:val="1"/>
          <w:numId w:val="2"/>
        </w:numPr>
        <w:spacing w:after="0" w:line="240" w:lineRule="auto"/>
        <w:jc w:val="both"/>
        <w:rPr>
          <w:rFonts w:ascii="Times New Roman" w:hAnsi="Times New Roman" w:cs="Times New Roman"/>
          <w:sz w:val="24"/>
          <w:szCs w:val="24"/>
          <w:u w:val="single"/>
        </w:rPr>
      </w:pPr>
      <w:r w:rsidRPr="00A029DD">
        <w:rPr>
          <w:rFonts w:ascii="Times New Roman" w:hAnsi="Times New Roman" w:cs="Times New Roman"/>
          <w:sz w:val="24"/>
          <w:szCs w:val="24"/>
          <w:u w:val="single"/>
        </w:rPr>
        <w:t xml:space="preserve">Pakalpojumu saņēmēju apmierinātības anketu (4.2.22. apakšpunktā noteiktais) aptveres rādītājs (%) – </w:t>
      </w:r>
      <w:r w:rsidRPr="00A029DD">
        <w:rPr>
          <w:rFonts w:ascii="Times New Roman" w:hAnsi="Times New Roman" w:cs="Times New Roman"/>
          <w:sz w:val="24"/>
          <w:szCs w:val="24"/>
        </w:rPr>
        <w:t>unikālo konkrētā reģiona pacientu, kuri saņem paliatīvās aprūpes mobilās komandas pakalpojumu pacienta dzīvesvietā, aizpildīto anketu īpatsvars (%) no kopējā pacientu skaita, kuriem Pretendents nodrošina paliatīvās aprūpes mobilās komandas pakalpojumu pacienta dzīvesvietā:</w:t>
      </w:r>
    </w:p>
    <w:p w14:paraId="0745C6B4" w14:textId="77777777" w:rsidR="00A029DD" w:rsidRPr="00A029DD" w:rsidRDefault="00A029DD" w:rsidP="00A029DD">
      <w:pPr>
        <w:rPr>
          <w:rFonts w:ascii="Times New Roman" w:hAnsi="Times New Roman" w:cs="Times New Roman"/>
          <w:sz w:val="24"/>
          <w:szCs w:val="24"/>
        </w:rPr>
      </w:pPr>
    </w:p>
    <w:p w14:paraId="1AE4A1BA" w14:textId="77777777" w:rsidR="00A029DD" w:rsidRPr="00A029DD" w:rsidRDefault="00A029DD" w:rsidP="00A029DD">
      <w:pPr>
        <w:rPr>
          <w:rFonts w:ascii="Times New Roman" w:hAnsi="Times New Roman" w:cs="Times New Roman"/>
          <w:sz w:val="24"/>
          <w:szCs w:val="24"/>
        </w:rPr>
      </w:pPr>
      <w:r w:rsidRPr="00A029DD">
        <w:rPr>
          <w:rFonts w:ascii="Times New Roman" w:hAnsi="Times New Roman" w:cs="Times New Roman"/>
          <w:sz w:val="24"/>
          <w:szCs w:val="24"/>
        </w:rPr>
        <w:t xml:space="preserve">Aprēķins: </w:t>
      </w:r>
    </w:p>
    <w:p w14:paraId="501D0C7C" w14:textId="77777777" w:rsidR="00A029DD" w:rsidRPr="00A029DD" w:rsidRDefault="00A029DD" w:rsidP="00A029DD">
      <w:pPr>
        <w:rPr>
          <w:rFonts w:ascii="Times New Roman" w:hAnsi="Times New Roman" w:cs="Times New Roman"/>
          <w:sz w:val="24"/>
          <w:szCs w:val="24"/>
        </w:rPr>
      </w:pPr>
      <w:r w:rsidRPr="00A029DD">
        <w:rPr>
          <w:rFonts w:ascii="Times New Roman" w:hAnsi="Times New Roman" w:cs="Times New Roman"/>
          <w:sz w:val="24"/>
          <w:szCs w:val="24"/>
        </w:rPr>
        <w:t xml:space="preserve">Pakalpojumu saņēmēju apmierinātības anketu aptveres rādītājs </w:t>
      </w:r>
      <m:oMath>
        <m:d>
          <m:dPr>
            <m:ctrlPr>
              <w:rPr>
                <w:rFonts w:ascii="Cambria Math" w:hAnsi="Cambria Math" w:cs="Times New Roman"/>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m:t>
        </m:r>
        <m:f>
          <m:fPr>
            <m:ctrlPr>
              <w:rPr>
                <w:rFonts w:ascii="Cambria Math" w:hAnsi="Cambria Math" w:cs="Times New Roman"/>
                <w:sz w:val="24"/>
                <w:szCs w:val="24"/>
              </w:rPr>
            </m:ctrlPr>
          </m:fPr>
          <m:num>
            <m:eqArr>
              <m:eqArrPr>
                <m:ctrlPr>
                  <w:rPr>
                    <w:rFonts w:ascii="Cambria Math" w:hAnsi="Cambria Math" w:cs="Times New Roman"/>
                    <w:sz w:val="24"/>
                    <w:szCs w:val="24"/>
                  </w:rPr>
                </m:ctrlPr>
              </m:eqArrPr>
              <m:e>
                <m:r>
                  <m:rPr>
                    <m:sty m:val="p"/>
                  </m:rPr>
                  <w:rPr>
                    <w:rFonts w:ascii="Cambria Math" w:hAnsi="Cambria Math" w:cs="Times New Roman"/>
                    <w:sz w:val="24"/>
                    <w:szCs w:val="24"/>
                  </w:rPr>
                  <m:t xml:space="preserve">aizpildīto anketu skaits </m:t>
                </m:r>
              </m:e>
              <m:e/>
            </m:eqArr>
          </m:num>
          <m:den>
            <m:eqArr>
              <m:eqArrPr>
                <m:ctrlPr>
                  <w:rPr>
                    <w:rFonts w:ascii="Cambria Math" w:hAnsi="Cambria Math" w:cs="Times New Roman"/>
                    <w:sz w:val="24"/>
                    <w:szCs w:val="24"/>
                  </w:rPr>
                </m:ctrlPr>
              </m:eqArrPr>
              <m:e>
                <m:r>
                  <m:rPr>
                    <m:sty m:val="p"/>
                  </m:rPr>
                  <w:rPr>
                    <w:rFonts w:ascii="Cambria Math" w:hAnsi="Cambria Math" w:cs="Times New Roman"/>
                    <w:sz w:val="24"/>
                    <w:szCs w:val="24"/>
                  </w:rPr>
                  <m:t xml:space="preserve">kopējais gadījumu </m:t>
                </m:r>
              </m:e>
              <m:e>
                <m:r>
                  <m:rPr>
                    <m:sty m:val="p"/>
                  </m:rPr>
                  <w:rPr>
                    <w:rFonts w:ascii="Cambria Math" w:hAnsi="Cambria Math" w:cs="Times New Roman"/>
                    <w:sz w:val="24"/>
                    <w:szCs w:val="24"/>
                  </w:rPr>
                  <m:t>skaits iestādē</m:t>
                </m:r>
              </m:e>
            </m:eqArr>
          </m:den>
        </m:f>
        <m:r>
          <m:rPr>
            <m:sty m:val="p"/>
          </m:rPr>
          <w:rPr>
            <w:rFonts w:ascii="Cambria Math" w:hAnsi="Cambria Math" w:cs="Times New Roman"/>
            <w:sz w:val="24"/>
            <w:szCs w:val="24"/>
          </w:rPr>
          <m:t>*100</m:t>
        </m:r>
      </m:oMath>
    </w:p>
    <w:p w14:paraId="0574E42E" w14:textId="77777777" w:rsidR="00A029DD" w:rsidRPr="00A029DD" w:rsidRDefault="00A029DD" w:rsidP="00A029DD">
      <w:pPr>
        <w:pStyle w:val="ListParagraph"/>
        <w:ind w:left="716"/>
        <w:jc w:val="both"/>
        <w:rPr>
          <w:rFonts w:ascii="Times New Roman" w:hAnsi="Times New Roman" w:cs="Times New Roman"/>
          <w:sz w:val="24"/>
          <w:szCs w:val="24"/>
        </w:rPr>
      </w:pPr>
    </w:p>
    <w:p w14:paraId="70625C86" w14:textId="57290A84" w:rsidR="00A029DD" w:rsidRPr="00A029DD" w:rsidRDefault="00A029DD" w:rsidP="00A029DD">
      <w:pPr>
        <w:pStyle w:val="ListParagraph"/>
        <w:numPr>
          <w:ilvl w:val="1"/>
          <w:numId w:val="2"/>
        </w:numPr>
        <w:spacing w:after="0" w:line="240" w:lineRule="auto"/>
        <w:jc w:val="both"/>
        <w:rPr>
          <w:rFonts w:ascii="Times New Roman" w:hAnsi="Times New Roman" w:cs="Times New Roman"/>
          <w:sz w:val="24"/>
          <w:szCs w:val="24"/>
        </w:rPr>
      </w:pPr>
      <w:r w:rsidRPr="00A029DD">
        <w:rPr>
          <w:rFonts w:ascii="Times New Roman" w:hAnsi="Times New Roman" w:cs="Times New Roman"/>
          <w:sz w:val="24"/>
          <w:szCs w:val="24"/>
          <w:u w:val="single"/>
        </w:rPr>
        <w:lastRenderedPageBreak/>
        <w:t xml:space="preserve">Pakalpojumu saņēmēju apmierinātības rādītājs </w:t>
      </w:r>
      <w:r w:rsidRPr="00A029DD">
        <w:rPr>
          <w:rFonts w:ascii="Times New Roman" w:hAnsi="Times New Roman" w:cs="Times New Roman"/>
          <w:sz w:val="24"/>
          <w:szCs w:val="24"/>
        </w:rPr>
        <w:t>(4.2.22. apakšpunktā noteiktais).</w:t>
      </w:r>
    </w:p>
    <w:p w14:paraId="08847A24" w14:textId="77777777" w:rsidR="00A029DD" w:rsidRPr="00A029DD" w:rsidRDefault="00A029DD" w:rsidP="00A029DD">
      <w:pPr>
        <w:ind w:left="284"/>
        <w:rPr>
          <w:rFonts w:ascii="Times New Roman" w:hAnsi="Times New Roman" w:cs="Times New Roman"/>
          <w:sz w:val="24"/>
          <w:szCs w:val="24"/>
        </w:rPr>
      </w:pPr>
    </w:p>
    <w:p w14:paraId="5D4E7B7C" w14:textId="77777777" w:rsidR="00A029DD" w:rsidRPr="00A029DD" w:rsidRDefault="00A029DD" w:rsidP="00A029DD">
      <w:pPr>
        <w:ind w:left="284"/>
        <w:rPr>
          <w:rFonts w:ascii="Times New Roman" w:hAnsi="Times New Roman" w:cs="Times New Roman"/>
          <w:sz w:val="24"/>
          <w:szCs w:val="24"/>
        </w:rPr>
      </w:pPr>
      <w:r w:rsidRPr="00A029DD">
        <w:rPr>
          <w:rFonts w:ascii="Times New Roman" w:hAnsi="Times New Roman" w:cs="Times New Roman"/>
          <w:sz w:val="24"/>
          <w:szCs w:val="24"/>
        </w:rPr>
        <w:t xml:space="preserve">Aprēķins:    Jautājumu skaits uz kuriem sniegta atbilde ar ne mazāk kā 4 punktiem (kopā 25 jautājumi uz kuriem atbilde sniedzama punktu skalā no 1 līdz 5). </w:t>
      </w:r>
    </w:p>
    <w:p w14:paraId="26E43E08" w14:textId="77777777" w:rsidR="00A029DD" w:rsidRPr="007F766D" w:rsidRDefault="00A029DD" w:rsidP="00A029DD">
      <w:pPr>
        <w:pStyle w:val="ListParagraph"/>
        <w:ind w:left="716"/>
        <w:jc w:val="both"/>
        <w:rPr>
          <w:sz w:val="24"/>
          <w:szCs w:val="24"/>
        </w:rPr>
      </w:pPr>
    </w:p>
    <w:tbl>
      <w:tblPr>
        <w:tblStyle w:val="TableGrid"/>
        <w:tblW w:w="9366" w:type="dxa"/>
        <w:tblLayout w:type="fixed"/>
        <w:tblLook w:val="04A0" w:firstRow="1" w:lastRow="0" w:firstColumn="1" w:lastColumn="0" w:noHBand="0" w:noVBand="1"/>
      </w:tblPr>
      <w:tblGrid>
        <w:gridCol w:w="1544"/>
        <w:gridCol w:w="420"/>
        <w:gridCol w:w="15"/>
        <w:gridCol w:w="426"/>
        <w:gridCol w:w="425"/>
        <w:gridCol w:w="546"/>
        <w:gridCol w:w="21"/>
        <w:gridCol w:w="521"/>
        <w:gridCol w:w="544"/>
        <w:gridCol w:w="544"/>
        <w:gridCol w:w="544"/>
        <w:gridCol w:w="544"/>
        <w:gridCol w:w="11"/>
        <w:gridCol w:w="537"/>
        <w:gridCol w:w="544"/>
        <w:gridCol w:w="544"/>
        <w:gridCol w:w="544"/>
        <w:gridCol w:w="544"/>
        <w:gridCol w:w="11"/>
        <w:gridCol w:w="537"/>
      </w:tblGrid>
      <w:tr w:rsidR="00A029DD" w:rsidRPr="006A20E6" w14:paraId="1CF69006" w14:textId="77777777" w:rsidTr="009F0DC8">
        <w:trPr>
          <w:trHeight w:val="274"/>
        </w:trPr>
        <w:tc>
          <w:tcPr>
            <w:tcW w:w="1544" w:type="dxa"/>
            <w:vMerge w:val="restart"/>
            <w:shd w:val="clear" w:color="auto" w:fill="E7E6E6" w:themeFill="background2"/>
            <w:vAlign w:val="center"/>
          </w:tcPr>
          <w:p w14:paraId="1D2C87A9" w14:textId="77777777" w:rsidR="00A029DD" w:rsidRPr="006A20E6" w:rsidRDefault="00A029DD" w:rsidP="009F0DC8">
            <w:pPr>
              <w:spacing w:after="160" w:line="259" w:lineRule="auto"/>
              <w:jc w:val="center"/>
              <w:rPr>
                <w:b/>
                <w:bCs/>
                <w:sz w:val="22"/>
                <w:szCs w:val="22"/>
              </w:rPr>
            </w:pPr>
            <w:r w:rsidRPr="00D21460">
              <w:rPr>
                <w:b/>
                <w:bCs/>
              </w:rPr>
              <w:t>Kritērija nosaukums</w:t>
            </w:r>
          </w:p>
        </w:tc>
        <w:tc>
          <w:tcPr>
            <w:tcW w:w="7822" w:type="dxa"/>
            <w:gridSpan w:val="19"/>
            <w:shd w:val="clear" w:color="auto" w:fill="E7E6E6" w:themeFill="background2"/>
          </w:tcPr>
          <w:p w14:paraId="505D0E33" w14:textId="77777777" w:rsidR="00A029DD" w:rsidRPr="006A20E6" w:rsidRDefault="00A029DD" w:rsidP="009F0DC8">
            <w:pPr>
              <w:spacing w:after="160" w:line="259" w:lineRule="auto"/>
              <w:jc w:val="center"/>
              <w:rPr>
                <w:b/>
                <w:bCs/>
                <w:sz w:val="22"/>
                <w:szCs w:val="22"/>
              </w:rPr>
            </w:pPr>
            <w:r w:rsidRPr="006A20E6">
              <w:rPr>
                <w:b/>
                <w:bCs/>
                <w:sz w:val="22"/>
                <w:szCs w:val="22"/>
              </w:rPr>
              <w:t>Mērķa rādītājs</w:t>
            </w:r>
          </w:p>
        </w:tc>
      </w:tr>
      <w:tr w:rsidR="00A029DD" w:rsidRPr="006A20E6" w14:paraId="11512F88" w14:textId="77777777" w:rsidTr="009F0DC8">
        <w:trPr>
          <w:trHeight w:val="280"/>
        </w:trPr>
        <w:tc>
          <w:tcPr>
            <w:tcW w:w="1544" w:type="dxa"/>
            <w:vMerge/>
            <w:vAlign w:val="center"/>
          </w:tcPr>
          <w:p w14:paraId="39FFF352" w14:textId="77777777" w:rsidR="00A029DD" w:rsidRPr="006A20E6" w:rsidRDefault="00A029DD" w:rsidP="009F0DC8">
            <w:pPr>
              <w:spacing w:after="160" w:line="259" w:lineRule="auto"/>
              <w:jc w:val="center"/>
              <w:rPr>
                <w:b/>
                <w:bCs/>
                <w:sz w:val="22"/>
                <w:szCs w:val="22"/>
              </w:rPr>
            </w:pPr>
          </w:p>
        </w:tc>
        <w:tc>
          <w:tcPr>
            <w:tcW w:w="2374" w:type="dxa"/>
            <w:gridSpan w:val="7"/>
            <w:shd w:val="clear" w:color="auto" w:fill="EB4151"/>
            <w:vAlign w:val="center"/>
          </w:tcPr>
          <w:p w14:paraId="2B267306" w14:textId="77777777" w:rsidR="00A029DD" w:rsidRPr="006A20E6" w:rsidRDefault="00A029DD" w:rsidP="009F0DC8">
            <w:pPr>
              <w:spacing w:after="160" w:line="259" w:lineRule="auto"/>
              <w:jc w:val="center"/>
              <w:rPr>
                <w:b/>
                <w:bCs/>
                <w:sz w:val="22"/>
                <w:szCs w:val="22"/>
              </w:rPr>
            </w:pPr>
            <w:r w:rsidRPr="006A20E6">
              <w:rPr>
                <w:b/>
                <w:bCs/>
                <w:sz w:val="22"/>
                <w:szCs w:val="22"/>
              </w:rPr>
              <w:t>Nepieņemams</w:t>
            </w:r>
          </w:p>
        </w:tc>
        <w:tc>
          <w:tcPr>
            <w:tcW w:w="2724" w:type="dxa"/>
            <w:gridSpan w:val="6"/>
            <w:shd w:val="clear" w:color="auto" w:fill="A8D08D" w:themeFill="accent6" w:themeFillTint="99"/>
            <w:vAlign w:val="center"/>
          </w:tcPr>
          <w:p w14:paraId="7D1765AC" w14:textId="77777777" w:rsidR="00A029DD" w:rsidRPr="006A20E6" w:rsidRDefault="00A029DD" w:rsidP="009F0DC8">
            <w:pPr>
              <w:spacing w:after="160" w:line="259" w:lineRule="auto"/>
              <w:jc w:val="center"/>
              <w:rPr>
                <w:b/>
                <w:bCs/>
                <w:sz w:val="22"/>
                <w:szCs w:val="22"/>
              </w:rPr>
            </w:pPr>
            <w:r w:rsidRPr="006A20E6">
              <w:rPr>
                <w:b/>
                <w:bCs/>
                <w:sz w:val="22"/>
                <w:szCs w:val="22"/>
              </w:rPr>
              <w:t>Uzraugāms</w:t>
            </w:r>
          </w:p>
        </w:tc>
        <w:tc>
          <w:tcPr>
            <w:tcW w:w="2724" w:type="dxa"/>
            <w:gridSpan w:val="6"/>
            <w:shd w:val="clear" w:color="auto" w:fill="C9C9C9" w:themeFill="accent3" w:themeFillTint="99"/>
            <w:vAlign w:val="center"/>
          </w:tcPr>
          <w:p w14:paraId="05A4760B" w14:textId="77777777" w:rsidR="00A029DD" w:rsidRPr="006A20E6" w:rsidRDefault="00A029DD" w:rsidP="009F0DC8">
            <w:pPr>
              <w:spacing w:after="160" w:line="259" w:lineRule="auto"/>
              <w:jc w:val="center"/>
              <w:rPr>
                <w:b/>
                <w:bCs/>
                <w:sz w:val="22"/>
                <w:szCs w:val="22"/>
              </w:rPr>
            </w:pPr>
            <w:r w:rsidRPr="006A20E6">
              <w:rPr>
                <w:b/>
                <w:bCs/>
                <w:sz w:val="22"/>
                <w:szCs w:val="22"/>
              </w:rPr>
              <w:t>Pieņemams</w:t>
            </w:r>
          </w:p>
        </w:tc>
      </w:tr>
      <w:tr w:rsidR="00A029DD" w:rsidRPr="006A20E6" w14:paraId="057FB101" w14:textId="77777777" w:rsidTr="009F0DC8">
        <w:trPr>
          <w:cantSplit/>
          <w:trHeight w:val="637"/>
        </w:trPr>
        <w:tc>
          <w:tcPr>
            <w:tcW w:w="1544" w:type="dxa"/>
            <w:vMerge/>
            <w:vAlign w:val="center"/>
          </w:tcPr>
          <w:p w14:paraId="72993C56" w14:textId="77777777" w:rsidR="00A029DD" w:rsidRPr="006A20E6" w:rsidRDefault="00A029DD" w:rsidP="009F0DC8">
            <w:pPr>
              <w:spacing w:after="160" w:line="259" w:lineRule="auto"/>
              <w:jc w:val="center"/>
              <w:rPr>
                <w:b/>
                <w:bCs/>
                <w:sz w:val="22"/>
                <w:szCs w:val="22"/>
              </w:rPr>
            </w:pPr>
          </w:p>
        </w:tc>
        <w:tc>
          <w:tcPr>
            <w:tcW w:w="420" w:type="dxa"/>
            <w:textDirection w:val="btLr"/>
            <w:vAlign w:val="center"/>
          </w:tcPr>
          <w:p w14:paraId="7BAC9777" w14:textId="77777777" w:rsidR="00A029DD" w:rsidRPr="00D21460" w:rsidRDefault="00A029DD" w:rsidP="009F0DC8">
            <w:pPr>
              <w:spacing w:after="160" w:line="259" w:lineRule="auto"/>
              <w:ind w:left="113" w:right="113"/>
              <w:jc w:val="center"/>
              <w:rPr>
                <w:b/>
                <w:bCs/>
                <w:sz w:val="18"/>
                <w:szCs w:val="18"/>
              </w:rPr>
            </w:pPr>
            <w:r w:rsidRPr="00D21460">
              <w:rPr>
                <w:b/>
                <w:bCs/>
                <w:sz w:val="18"/>
                <w:szCs w:val="18"/>
              </w:rPr>
              <w:t>2023</w:t>
            </w:r>
            <w:r>
              <w:rPr>
                <w:b/>
                <w:bCs/>
                <w:sz w:val="18"/>
                <w:szCs w:val="18"/>
              </w:rPr>
              <w:t>/2024</w:t>
            </w:r>
          </w:p>
        </w:tc>
        <w:tc>
          <w:tcPr>
            <w:tcW w:w="441" w:type="dxa"/>
            <w:gridSpan w:val="2"/>
            <w:textDirection w:val="btLr"/>
            <w:vAlign w:val="center"/>
          </w:tcPr>
          <w:p w14:paraId="273BA38C" w14:textId="77777777" w:rsidR="00A029DD" w:rsidRPr="00D21460" w:rsidRDefault="00A029DD" w:rsidP="009F0DC8">
            <w:pPr>
              <w:spacing w:after="160" w:line="259" w:lineRule="auto"/>
              <w:ind w:left="113" w:right="113"/>
              <w:jc w:val="center"/>
              <w:rPr>
                <w:b/>
                <w:bCs/>
                <w:sz w:val="18"/>
                <w:szCs w:val="18"/>
              </w:rPr>
            </w:pPr>
            <w:r w:rsidRPr="00D21460">
              <w:rPr>
                <w:b/>
                <w:bCs/>
                <w:sz w:val="18"/>
                <w:szCs w:val="18"/>
              </w:rPr>
              <w:t>202</w:t>
            </w:r>
            <w:r>
              <w:rPr>
                <w:b/>
                <w:bCs/>
                <w:sz w:val="18"/>
                <w:szCs w:val="18"/>
              </w:rPr>
              <w:t>5</w:t>
            </w:r>
          </w:p>
        </w:tc>
        <w:tc>
          <w:tcPr>
            <w:tcW w:w="425" w:type="dxa"/>
            <w:textDirection w:val="btLr"/>
            <w:vAlign w:val="center"/>
          </w:tcPr>
          <w:p w14:paraId="35FDFA51" w14:textId="77777777" w:rsidR="00A029DD" w:rsidRPr="00D21460" w:rsidRDefault="00A029DD" w:rsidP="009F0DC8">
            <w:pPr>
              <w:spacing w:after="160" w:line="259" w:lineRule="auto"/>
              <w:ind w:left="113" w:right="113"/>
              <w:jc w:val="center"/>
              <w:rPr>
                <w:b/>
                <w:bCs/>
                <w:sz w:val="18"/>
                <w:szCs w:val="18"/>
              </w:rPr>
            </w:pPr>
            <w:r w:rsidRPr="00D21460">
              <w:rPr>
                <w:b/>
                <w:bCs/>
                <w:sz w:val="18"/>
                <w:szCs w:val="18"/>
              </w:rPr>
              <w:t>202</w:t>
            </w:r>
            <w:r>
              <w:rPr>
                <w:b/>
                <w:bCs/>
                <w:sz w:val="18"/>
                <w:szCs w:val="18"/>
              </w:rPr>
              <w:t>6</w:t>
            </w:r>
          </w:p>
        </w:tc>
        <w:tc>
          <w:tcPr>
            <w:tcW w:w="546" w:type="dxa"/>
            <w:textDirection w:val="btLr"/>
          </w:tcPr>
          <w:p w14:paraId="6B78C1B3" w14:textId="77777777" w:rsidR="00A029DD" w:rsidRPr="00D21460" w:rsidRDefault="00A029DD" w:rsidP="009F0DC8">
            <w:pPr>
              <w:spacing w:after="160" w:line="259" w:lineRule="auto"/>
              <w:ind w:left="113" w:right="113"/>
              <w:jc w:val="center"/>
              <w:rPr>
                <w:b/>
                <w:bCs/>
                <w:sz w:val="18"/>
                <w:szCs w:val="18"/>
              </w:rPr>
            </w:pPr>
            <w:r w:rsidRPr="00D21460">
              <w:rPr>
                <w:b/>
                <w:bCs/>
                <w:sz w:val="18"/>
                <w:szCs w:val="18"/>
              </w:rPr>
              <w:t>202</w:t>
            </w:r>
            <w:r>
              <w:rPr>
                <w:b/>
                <w:bCs/>
                <w:sz w:val="18"/>
                <w:szCs w:val="18"/>
              </w:rPr>
              <w:t>7</w:t>
            </w:r>
          </w:p>
        </w:tc>
        <w:tc>
          <w:tcPr>
            <w:tcW w:w="542" w:type="dxa"/>
            <w:gridSpan w:val="2"/>
            <w:textDirection w:val="btLr"/>
          </w:tcPr>
          <w:p w14:paraId="12ABECC9" w14:textId="77777777" w:rsidR="00A029DD" w:rsidRPr="00D21460" w:rsidRDefault="00A029DD" w:rsidP="009F0DC8">
            <w:pPr>
              <w:spacing w:after="160" w:line="259" w:lineRule="auto"/>
              <w:ind w:left="113" w:right="113"/>
              <w:jc w:val="center"/>
              <w:rPr>
                <w:b/>
                <w:bCs/>
                <w:sz w:val="18"/>
                <w:szCs w:val="18"/>
              </w:rPr>
            </w:pPr>
            <w:r w:rsidRPr="00D21460">
              <w:rPr>
                <w:b/>
                <w:bCs/>
                <w:sz w:val="18"/>
                <w:szCs w:val="18"/>
              </w:rPr>
              <w:t>202</w:t>
            </w:r>
            <w:r>
              <w:rPr>
                <w:b/>
                <w:bCs/>
                <w:sz w:val="18"/>
                <w:szCs w:val="18"/>
              </w:rPr>
              <w:t>8</w:t>
            </w:r>
          </w:p>
        </w:tc>
        <w:tc>
          <w:tcPr>
            <w:tcW w:w="544" w:type="dxa"/>
            <w:textDirection w:val="btLr"/>
            <w:vAlign w:val="center"/>
          </w:tcPr>
          <w:p w14:paraId="68A79F21" w14:textId="77777777" w:rsidR="00A029DD" w:rsidRPr="00D21460" w:rsidRDefault="00A029DD" w:rsidP="009F0DC8">
            <w:pPr>
              <w:spacing w:after="160" w:line="259" w:lineRule="auto"/>
              <w:ind w:left="113" w:right="113"/>
              <w:jc w:val="center"/>
              <w:rPr>
                <w:b/>
                <w:bCs/>
                <w:sz w:val="18"/>
                <w:szCs w:val="18"/>
              </w:rPr>
            </w:pPr>
            <w:r w:rsidRPr="00D21460">
              <w:rPr>
                <w:b/>
                <w:bCs/>
                <w:sz w:val="18"/>
                <w:szCs w:val="18"/>
              </w:rPr>
              <w:t>2023</w:t>
            </w:r>
            <w:r>
              <w:rPr>
                <w:b/>
                <w:bCs/>
                <w:sz w:val="18"/>
                <w:szCs w:val="18"/>
              </w:rPr>
              <w:t>/2024</w:t>
            </w:r>
          </w:p>
        </w:tc>
        <w:tc>
          <w:tcPr>
            <w:tcW w:w="544" w:type="dxa"/>
            <w:textDirection w:val="btLr"/>
            <w:vAlign w:val="center"/>
          </w:tcPr>
          <w:p w14:paraId="0190931A" w14:textId="77777777" w:rsidR="00A029DD" w:rsidRPr="00D21460" w:rsidRDefault="00A029DD" w:rsidP="009F0DC8">
            <w:pPr>
              <w:spacing w:after="160" w:line="259" w:lineRule="auto"/>
              <w:ind w:left="113" w:right="113"/>
              <w:jc w:val="center"/>
              <w:rPr>
                <w:b/>
                <w:bCs/>
                <w:sz w:val="18"/>
                <w:szCs w:val="18"/>
              </w:rPr>
            </w:pPr>
            <w:r w:rsidRPr="00D21460">
              <w:rPr>
                <w:b/>
                <w:bCs/>
                <w:sz w:val="18"/>
                <w:szCs w:val="18"/>
              </w:rPr>
              <w:t>202</w:t>
            </w:r>
            <w:r>
              <w:rPr>
                <w:b/>
                <w:bCs/>
                <w:sz w:val="18"/>
                <w:szCs w:val="18"/>
              </w:rPr>
              <w:t>5</w:t>
            </w:r>
          </w:p>
        </w:tc>
        <w:tc>
          <w:tcPr>
            <w:tcW w:w="544" w:type="dxa"/>
            <w:textDirection w:val="btLr"/>
            <w:vAlign w:val="center"/>
          </w:tcPr>
          <w:p w14:paraId="22680551" w14:textId="77777777" w:rsidR="00A029DD" w:rsidRPr="00D21460" w:rsidRDefault="00A029DD" w:rsidP="009F0DC8">
            <w:pPr>
              <w:spacing w:after="160" w:line="259" w:lineRule="auto"/>
              <w:ind w:left="113" w:right="113"/>
              <w:jc w:val="center"/>
              <w:rPr>
                <w:b/>
                <w:bCs/>
                <w:sz w:val="18"/>
                <w:szCs w:val="18"/>
              </w:rPr>
            </w:pPr>
            <w:r w:rsidRPr="00D21460">
              <w:rPr>
                <w:b/>
                <w:bCs/>
                <w:sz w:val="18"/>
                <w:szCs w:val="18"/>
              </w:rPr>
              <w:t>202</w:t>
            </w:r>
            <w:r>
              <w:rPr>
                <w:b/>
                <w:bCs/>
                <w:sz w:val="18"/>
                <w:szCs w:val="18"/>
              </w:rPr>
              <w:t>6</w:t>
            </w:r>
          </w:p>
        </w:tc>
        <w:tc>
          <w:tcPr>
            <w:tcW w:w="544" w:type="dxa"/>
            <w:textDirection w:val="btLr"/>
          </w:tcPr>
          <w:p w14:paraId="0BA0C919" w14:textId="77777777" w:rsidR="00A029DD" w:rsidRPr="00D21460" w:rsidRDefault="00A029DD" w:rsidP="009F0DC8">
            <w:pPr>
              <w:spacing w:after="160" w:line="259" w:lineRule="auto"/>
              <w:ind w:left="113" w:right="113"/>
              <w:jc w:val="center"/>
              <w:rPr>
                <w:b/>
                <w:bCs/>
                <w:sz w:val="18"/>
                <w:szCs w:val="18"/>
              </w:rPr>
            </w:pPr>
            <w:r w:rsidRPr="00D21460">
              <w:rPr>
                <w:b/>
                <w:bCs/>
                <w:sz w:val="18"/>
                <w:szCs w:val="18"/>
              </w:rPr>
              <w:t>202</w:t>
            </w:r>
            <w:r>
              <w:rPr>
                <w:b/>
                <w:bCs/>
                <w:sz w:val="18"/>
                <w:szCs w:val="18"/>
              </w:rPr>
              <w:t>7</w:t>
            </w:r>
          </w:p>
        </w:tc>
        <w:tc>
          <w:tcPr>
            <w:tcW w:w="548" w:type="dxa"/>
            <w:gridSpan w:val="2"/>
            <w:textDirection w:val="btLr"/>
          </w:tcPr>
          <w:p w14:paraId="324F8CCD" w14:textId="77777777" w:rsidR="00A029DD" w:rsidRPr="00D21460" w:rsidRDefault="00A029DD" w:rsidP="009F0DC8">
            <w:pPr>
              <w:spacing w:after="160" w:line="259" w:lineRule="auto"/>
              <w:ind w:left="113" w:right="113"/>
              <w:jc w:val="center"/>
              <w:rPr>
                <w:b/>
                <w:bCs/>
                <w:sz w:val="18"/>
                <w:szCs w:val="18"/>
              </w:rPr>
            </w:pPr>
            <w:r w:rsidRPr="00D21460">
              <w:rPr>
                <w:b/>
                <w:bCs/>
                <w:sz w:val="18"/>
                <w:szCs w:val="18"/>
              </w:rPr>
              <w:t>202</w:t>
            </w:r>
            <w:r>
              <w:rPr>
                <w:b/>
                <w:bCs/>
                <w:sz w:val="18"/>
                <w:szCs w:val="18"/>
              </w:rPr>
              <w:t>8</w:t>
            </w:r>
          </w:p>
        </w:tc>
        <w:tc>
          <w:tcPr>
            <w:tcW w:w="544" w:type="dxa"/>
            <w:textDirection w:val="btLr"/>
            <w:vAlign w:val="center"/>
          </w:tcPr>
          <w:p w14:paraId="30D965F5" w14:textId="77777777" w:rsidR="00A029DD" w:rsidRPr="00D21460" w:rsidRDefault="00A029DD" w:rsidP="009F0DC8">
            <w:pPr>
              <w:spacing w:after="160" w:line="259" w:lineRule="auto"/>
              <w:ind w:left="113" w:right="113"/>
              <w:jc w:val="center"/>
              <w:rPr>
                <w:b/>
                <w:bCs/>
                <w:sz w:val="18"/>
                <w:szCs w:val="18"/>
              </w:rPr>
            </w:pPr>
            <w:r w:rsidRPr="00D21460">
              <w:rPr>
                <w:b/>
                <w:bCs/>
                <w:sz w:val="18"/>
                <w:szCs w:val="18"/>
              </w:rPr>
              <w:t>2023</w:t>
            </w:r>
            <w:r>
              <w:rPr>
                <w:b/>
                <w:bCs/>
                <w:sz w:val="18"/>
                <w:szCs w:val="18"/>
              </w:rPr>
              <w:t>/2024</w:t>
            </w:r>
          </w:p>
        </w:tc>
        <w:tc>
          <w:tcPr>
            <w:tcW w:w="544" w:type="dxa"/>
            <w:textDirection w:val="btLr"/>
            <w:vAlign w:val="center"/>
          </w:tcPr>
          <w:p w14:paraId="1F294328" w14:textId="77777777" w:rsidR="00A029DD" w:rsidRPr="00D21460" w:rsidRDefault="00A029DD" w:rsidP="009F0DC8">
            <w:pPr>
              <w:spacing w:after="160" w:line="259" w:lineRule="auto"/>
              <w:ind w:left="113" w:right="113"/>
              <w:jc w:val="center"/>
              <w:rPr>
                <w:b/>
                <w:bCs/>
                <w:sz w:val="18"/>
                <w:szCs w:val="18"/>
              </w:rPr>
            </w:pPr>
            <w:r w:rsidRPr="00D21460">
              <w:rPr>
                <w:b/>
                <w:bCs/>
                <w:sz w:val="18"/>
                <w:szCs w:val="18"/>
              </w:rPr>
              <w:t>202</w:t>
            </w:r>
            <w:r>
              <w:rPr>
                <w:b/>
                <w:bCs/>
                <w:sz w:val="18"/>
                <w:szCs w:val="18"/>
              </w:rPr>
              <w:t>5</w:t>
            </w:r>
          </w:p>
        </w:tc>
        <w:tc>
          <w:tcPr>
            <w:tcW w:w="544" w:type="dxa"/>
            <w:textDirection w:val="btLr"/>
            <w:vAlign w:val="center"/>
          </w:tcPr>
          <w:p w14:paraId="0D021AE1" w14:textId="77777777" w:rsidR="00A029DD" w:rsidRPr="00D21460" w:rsidRDefault="00A029DD" w:rsidP="009F0DC8">
            <w:pPr>
              <w:spacing w:after="160" w:line="259" w:lineRule="auto"/>
              <w:ind w:left="113" w:right="113"/>
              <w:jc w:val="center"/>
              <w:rPr>
                <w:b/>
                <w:bCs/>
                <w:sz w:val="18"/>
                <w:szCs w:val="18"/>
              </w:rPr>
            </w:pPr>
            <w:r w:rsidRPr="00D21460">
              <w:rPr>
                <w:b/>
                <w:bCs/>
                <w:sz w:val="18"/>
                <w:szCs w:val="18"/>
              </w:rPr>
              <w:t>202</w:t>
            </w:r>
            <w:r>
              <w:rPr>
                <w:b/>
                <w:bCs/>
                <w:sz w:val="18"/>
                <w:szCs w:val="18"/>
              </w:rPr>
              <w:t>6</w:t>
            </w:r>
          </w:p>
        </w:tc>
        <w:tc>
          <w:tcPr>
            <w:tcW w:w="544" w:type="dxa"/>
            <w:textDirection w:val="btLr"/>
          </w:tcPr>
          <w:p w14:paraId="24CDF48E" w14:textId="77777777" w:rsidR="00A029DD" w:rsidRPr="00D21460" w:rsidRDefault="00A029DD" w:rsidP="009F0DC8">
            <w:pPr>
              <w:spacing w:after="160" w:line="259" w:lineRule="auto"/>
              <w:ind w:left="113" w:right="113"/>
              <w:jc w:val="center"/>
              <w:rPr>
                <w:b/>
                <w:bCs/>
                <w:sz w:val="18"/>
                <w:szCs w:val="18"/>
              </w:rPr>
            </w:pPr>
            <w:r w:rsidRPr="00D21460">
              <w:rPr>
                <w:b/>
                <w:bCs/>
                <w:sz w:val="18"/>
                <w:szCs w:val="18"/>
              </w:rPr>
              <w:t>202</w:t>
            </w:r>
            <w:r>
              <w:rPr>
                <w:b/>
                <w:bCs/>
                <w:sz w:val="18"/>
                <w:szCs w:val="18"/>
              </w:rPr>
              <w:t>7</w:t>
            </w:r>
          </w:p>
        </w:tc>
        <w:tc>
          <w:tcPr>
            <w:tcW w:w="548" w:type="dxa"/>
            <w:gridSpan w:val="2"/>
            <w:textDirection w:val="btLr"/>
          </w:tcPr>
          <w:p w14:paraId="0C2BC05F" w14:textId="77777777" w:rsidR="00A029DD" w:rsidRPr="00D21460" w:rsidRDefault="00A029DD" w:rsidP="009F0DC8">
            <w:pPr>
              <w:spacing w:after="160" w:line="259" w:lineRule="auto"/>
              <w:ind w:left="113" w:right="113"/>
              <w:jc w:val="center"/>
              <w:rPr>
                <w:b/>
                <w:bCs/>
                <w:sz w:val="18"/>
                <w:szCs w:val="18"/>
              </w:rPr>
            </w:pPr>
            <w:r w:rsidRPr="00D21460">
              <w:rPr>
                <w:b/>
                <w:bCs/>
                <w:sz w:val="18"/>
                <w:szCs w:val="18"/>
              </w:rPr>
              <w:t>202</w:t>
            </w:r>
            <w:r>
              <w:rPr>
                <w:b/>
                <w:bCs/>
                <w:sz w:val="18"/>
                <w:szCs w:val="18"/>
              </w:rPr>
              <w:t>8</w:t>
            </w:r>
          </w:p>
        </w:tc>
      </w:tr>
      <w:tr w:rsidR="00A029DD" w:rsidRPr="006A20E6" w14:paraId="1B5CDA3E" w14:textId="77777777" w:rsidTr="009F0DC8">
        <w:trPr>
          <w:cantSplit/>
          <w:trHeight w:val="904"/>
        </w:trPr>
        <w:tc>
          <w:tcPr>
            <w:tcW w:w="1544" w:type="dxa"/>
            <w:vAlign w:val="center"/>
          </w:tcPr>
          <w:p w14:paraId="0EB61CD7" w14:textId="412750D7" w:rsidR="00A029DD" w:rsidRPr="006A20E6" w:rsidRDefault="00A029DD" w:rsidP="009F0DC8">
            <w:pPr>
              <w:spacing w:after="160" w:line="259" w:lineRule="auto"/>
              <w:rPr>
                <w:b/>
                <w:bCs/>
                <w:sz w:val="22"/>
                <w:szCs w:val="22"/>
              </w:rPr>
            </w:pPr>
            <w:r>
              <w:rPr>
                <w:sz w:val="18"/>
                <w:szCs w:val="18"/>
              </w:rPr>
              <w:t xml:space="preserve">3.1. </w:t>
            </w:r>
            <w:r w:rsidRPr="00EE6B17">
              <w:rPr>
                <w:sz w:val="18"/>
                <w:szCs w:val="18"/>
              </w:rPr>
              <w:t>NMPD</w:t>
            </w:r>
            <w:r>
              <w:rPr>
                <w:sz w:val="18"/>
                <w:szCs w:val="18"/>
              </w:rPr>
              <w:t xml:space="preserve"> </w:t>
            </w:r>
            <w:r w:rsidRPr="00EE6B17">
              <w:rPr>
                <w:sz w:val="18"/>
                <w:szCs w:val="18"/>
              </w:rPr>
              <w:t>izsaukumu skaita samazinājums</w:t>
            </w:r>
          </w:p>
        </w:tc>
        <w:tc>
          <w:tcPr>
            <w:tcW w:w="435" w:type="dxa"/>
            <w:gridSpan w:val="2"/>
            <w:shd w:val="clear" w:color="auto" w:fill="FFFF00"/>
            <w:textDirection w:val="btLr"/>
          </w:tcPr>
          <w:p w14:paraId="7B7D190A" w14:textId="77777777" w:rsidR="00A029DD" w:rsidRPr="00C11B88" w:rsidRDefault="00A029DD" w:rsidP="009F0DC8">
            <w:pPr>
              <w:spacing w:after="160" w:line="259" w:lineRule="auto"/>
              <w:ind w:left="113" w:right="113"/>
              <w:jc w:val="center"/>
              <w:rPr>
                <w:b/>
                <w:bCs/>
                <w:sz w:val="18"/>
                <w:szCs w:val="18"/>
              </w:rPr>
            </w:pPr>
            <w:r w:rsidRPr="002475C0">
              <w:t>&gt;</w:t>
            </w:r>
            <w:r>
              <w:t>20</w:t>
            </w:r>
            <w:r w:rsidRPr="002475C0">
              <w:t>%</w:t>
            </w:r>
          </w:p>
        </w:tc>
        <w:tc>
          <w:tcPr>
            <w:tcW w:w="426" w:type="dxa"/>
            <w:shd w:val="clear" w:color="auto" w:fill="FFFF00"/>
            <w:textDirection w:val="btLr"/>
          </w:tcPr>
          <w:p w14:paraId="09368E48" w14:textId="77777777" w:rsidR="00A029DD" w:rsidRPr="00C11B88" w:rsidRDefault="00A029DD" w:rsidP="009F0DC8">
            <w:pPr>
              <w:spacing w:after="160" w:line="259" w:lineRule="auto"/>
              <w:ind w:left="113" w:right="113"/>
              <w:jc w:val="center"/>
              <w:rPr>
                <w:b/>
                <w:bCs/>
                <w:sz w:val="18"/>
                <w:szCs w:val="18"/>
              </w:rPr>
            </w:pPr>
            <w:r w:rsidRPr="002475C0">
              <w:t>&gt;</w:t>
            </w:r>
            <w:r>
              <w:t>20</w:t>
            </w:r>
            <w:r w:rsidRPr="002475C0">
              <w:t>%</w:t>
            </w:r>
          </w:p>
        </w:tc>
        <w:tc>
          <w:tcPr>
            <w:tcW w:w="425" w:type="dxa"/>
            <w:shd w:val="clear" w:color="auto" w:fill="FFFF00"/>
            <w:textDirection w:val="btLr"/>
          </w:tcPr>
          <w:p w14:paraId="0CFD22C5" w14:textId="77777777" w:rsidR="00A029DD" w:rsidRPr="00C11B88" w:rsidRDefault="00A029DD" w:rsidP="009F0DC8">
            <w:pPr>
              <w:spacing w:after="160" w:line="259" w:lineRule="auto"/>
              <w:ind w:left="113" w:right="113"/>
              <w:jc w:val="center"/>
              <w:rPr>
                <w:b/>
                <w:bCs/>
                <w:sz w:val="18"/>
                <w:szCs w:val="18"/>
              </w:rPr>
            </w:pPr>
            <w:r w:rsidRPr="00B615C5">
              <w:t>&gt;</w:t>
            </w:r>
            <w:r>
              <w:t>15%</w:t>
            </w:r>
          </w:p>
        </w:tc>
        <w:tc>
          <w:tcPr>
            <w:tcW w:w="567" w:type="dxa"/>
            <w:gridSpan w:val="2"/>
            <w:shd w:val="clear" w:color="auto" w:fill="FFFF00"/>
            <w:textDirection w:val="btLr"/>
          </w:tcPr>
          <w:p w14:paraId="662BA566" w14:textId="77777777" w:rsidR="00A029DD" w:rsidRPr="00C11B88" w:rsidRDefault="00A029DD" w:rsidP="009F0DC8">
            <w:pPr>
              <w:spacing w:after="160" w:line="259" w:lineRule="auto"/>
              <w:ind w:left="113" w:right="113"/>
              <w:jc w:val="center"/>
              <w:rPr>
                <w:b/>
                <w:bCs/>
                <w:sz w:val="18"/>
                <w:szCs w:val="18"/>
              </w:rPr>
            </w:pPr>
            <w:r w:rsidRPr="00B615C5">
              <w:t>&gt;</w:t>
            </w:r>
            <w:r>
              <w:t>15%</w:t>
            </w:r>
          </w:p>
        </w:tc>
        <w:tc>
          <w:tcPr>
            <w:tcW w:w="521" w:type="dxa"/>
            <w:shd w:val="clear" w:color="auto" w:fill="FFFF00"/>
            <w:textDirection w:val="btLr"/>
          </w:tcPr>
          <w:p w14:paraId="33751EFC" w14:textId="77777777" w:rsidR="00A029DD" w:rsidRPr="00C11B88" w:rsidRDefault="00A029DD" w:rsidP="009F0DC8">
            <w:pPr>
              <w:spacing w:after="160" w:line="259" w:lineRule="auto"/>
              <w:ind w:left="113" w:right="113"/>
              <w:jc w:val="center"/>
              <w:rPr>
                <w:b/>
                <w:bCs/>
                <w:sz w:val="18"/>
                <w:szCs w:val="18"/>
              </w:rPr>
            </w:pPr>
            <w:r w:rsidRPr="00B615C5">
              <w:t>&gt;</w:t>
            </w:r>
            <w:r>
              <w:t>15%</w:t>
            </w:r>
          </w:p>
        </w:tc>
        <w:tc>
          <w:tcPr>
            <w:tcW w:w="544" w:type="dxa"/>
            <w:shd w:val="clear" w:color="auto" w:fill="FFFF00"/>
            <w:textDirection w:val="btLr"/>
          </w:tcPr>
          <w:p w14:paraId="2F3276B9" w14:textId="77777777" w:rsidR="00A029DD" w:rsidRPr="00C11B88" w:rsidRDefault="00A029DD" w:rsidP="009F0DC8">
            <w:pPr>
              <w:spacing w:after="160" w:line="259" w:lineRule="auto"/>
              <w:ind w:left="113" w:right="113"/>
              <w:jc w:val="center"/>
              <w:rPr>
                <w:b/>
                <w:bCs/>
                <w:sz w:val="18"/>
                <w:szCs w:val="18"/>
              </w:rPr>
            </w:pPr>
            <w:r w:rsidRPr="002475C0">
              <w:t>15-20%</w:t>
            </w:r>
          </w:p>
        </w:tc>
        <w:tc>
          <w:tcPr>
            <w:tcW w:w="544" w:type="dxa"/>
            <w:shd w:val="clear" w:color="auto" w:fill="FFFF00"/>
            <w:textDirection w:val="btLr"/>
          </w:tcPr>
          <w:p w14:paraId="3E01747E" w14:textId="77777777" w:rsidR="00A029DD" w:rsidRPr="00C11B88" w:rsidRDefault="00A029DD" w:rsidP="009F0DC8">
            <w:pPr>
              <w:spacing w:after="160" w:line="259" w:lineRule="auto"/>
              <w:ind w:left="113" w:right="113"/>
              <w:jc w:val="center"/>
              <w:rPr>
                <w:b/>
                <w:bCs/>
                <w:sz w:val="18"/>
                <w:szCs w:val="18"/>
              </w:rPr>
            </w:pPr>
            <w:r w:rsidRPr="002475C0">
              <w:t>15-20%</w:t>
            </w:r>
          </w:p>
        </w:tc>
        <w:tc>
          <w:tcPr>
            <w:tcW w:w="544" w:type="dxa"/>
            <w:shd w:val="clear" w:color="auto" w:fill="FFFF00"/>
            <w:textDirection w:val="btLr"/>
          </w:tcPr>
          <w:p w14:paraId="58DEE515" w14:textId="77777777" w:rsidR="00A029DD" w:rsidRPr="00C11B88" w:rsidRDefault="00A029DD" w:rsidP="009F0DC8">
            <w:pPr>
              <w:spacing w:after="160" w:line="259" w:lineRule="auto"/>
              <w:ind w:left="113" w:right="113"/>
              <w:jc w:val="center"/>
              <w:rPr>
                <w:b/>
                <w:bCs/>
                <w:sz w:val="18"/>
                <w:szCs w:val="18"/>
              </w:rPr>
            </w:pPr>
            <w:r w:rsidRPr="002475C0">
              <w:t>10-15%</w:t>
            </w:r>
          </w:p>
        </w:tc>
        <w:tc>
          <w:tcPr>
            <w:tcW w:w="544" w:type="dxa"/>
            <w:shd w:val="clear" w:color="auto" w:fill="FFFF00"/>
            <w:textDirection w:val="btLr"/>
          </w:tcPr>
          <w:p w14:paraId="7A073243" w14:textId="77777777" w:rsidR="00A029DD" w:rsidRPr="00C11B88" w:rsidRDefault="00A029DD" w:rsidP="009F0DC8">
            <w:pPr>
              <w:spacing w:after="160" w:line="259" w:lineRule="auto"/>
              <w:ind w:left="113" w:right="113"/>
              <w:jc w:val="center"/>
              <w:rPr>
                <w:b/>
                <w:bCs/>
                <w:sz w:val="18"/>
                <w:szCs w:val="18"/>
              </w:rPr>
            </w:pPr>
            <w:r w:rsidRPr="002475C0">
              <w:t>10-15%</w:t>
            </w:r>
          </w:p>
        </w:tc>
        <w:tc>
          <w:tcPr>
            <w:tcW w:w="548" w:type="dxa"/>
            <w:gridSpan w:val="2"/>
            <w:shd w:val="clear" w:color="auto" w:fill="FFFF00"/>
            <w:textDirection w:val="btLr"/>
          </w:tcPr>
          <w:p w14:paraId="01203A2A" w14:textId="77777777" w:rsidR="00A029DD" w:rsidRPr="00C11B88" w:rsidRDefault="00A029DD" w:rsidP="009F0DC8">
            <w:pPr>
              <w:spacing w:after="160" w:line="259" w:lineRule="auto"/>
              <w:ind w:left="113" w:right="113"/>
              <w:jc w:val="center"/>
              <w:rPr>
                <w:b/>
                <w:bCs/>
                <w:sz w:val="18"/>
                <w:szCs w:val="18"/>
              </w:rPr>
            </w:pPr>
            <w:r w:rsidRPr="002475C0">
              <w:t>10-15%</w:t>
            </w:r>
          </w:p>
        </w:tc>
        <w:tc>
          <w:tcPr>
            <w:tcW w:w="544" w:type="dxa"/>
            <w:shd w:val="clear" w:color="auto" w:fill="FFFF00"/>
            <w:textDirection w:val="btLr"/>
          </w:tcPr>
          <w:p w14:paraId="4C64209E" w14:textId="77777777" w:rsidR="00A029DD" w:rsidRPr="00C11B88" w:rsidRDefault="00A029DD" w:rsidP="009F0DC8">
            <w:pPr>
              <w:spacing w:after="160" w:line="259" w:lineRule="auto"/>
              <w:ind w:left="113" w:right="113"/>
              <w:jc w:val="center"/>
              <w:rPr>
                <w:b/>
                <w:bCs/>
                <w:sz w:val="18"/>
                <w:szCs w:val="18"/>
              </w:rPr>
            </w:pPr>
            <w:r w:rsidRPr="002475C0">
              <w:t>&lt;15%</w:t>
            </w:r>
          </w:p>
        </w:tc>
        <w:tc>
          <w:tcPr>
            <w:tcW w:w="544" w:type="dxa"/>
            <w:shd w:val="clear" w:color="auto" w:fill="FFFF00"/>
            <w:textDirection w:val="btLr"/>
          </w:tcPr>
          <w:p w14:paraId="3844328E" w14:textId="77777777" w:rsidR="00A029DD" w:rsidRPr="00C11B88" w:rsidRDefault="00A029DD" w:rsidP="009F0DC8">
            <w:pPr>
              <w:spacing w:after="160" w:line="259" w:lineRule="auto"/>
              <w:ind w:left="113" w:right="113"/>
              <w:jc w:val="center"/>
              <w:rPr>
                <w:b/>
                <w:bCs/>
                <w:sz w:val="18"/>
                <w:szCs w:val="18"/>
              </w:rPr>
            </w:pPr>
            <w:r w:rsidRPr="002475C0">
              <w:t>&lt;15%</w:t>
            </w:r>
          </w:p>
        </w:tc>
        <w:tc>
          <w:tcPr>
            <w:tcW w:w="544" w:type="dxa"/>
            <w:shd w:val="clear" w:color="auto" w:fill="FFFF00"/>
            <w:textDirection w:val="btLr"/>
          </w:tcPr>
          <w:p w14:paraId="2B5438C5" w14:textId="77777777" w:rsidR="00A029DD" w:rsidRPr="00C11B88" w:rsidRDefault="00A029DD" w:rsidP="009F0DC8">
            <w:pPr>
              <w:spacing w:after="160" w:line="259" w:lineRule="auto"/>
              <w:ind w:left="113" w:right="113"/>
              <w:jc w:val="center"/>
              <w:rPr>
                <w:b/>
                <w:bCs/>
                <w:sz w:val="18"/>
                <w:szCs w:val="18"/>
              </w:rPr>
            </w:pPr>
            <w:r w:rsidRPr="002475C0">
              <w:t>&lt;10%</w:t>
            </w:r>
          </w:p>
        </w:tc>
        <w:tc>
          <w:tcPr>
            <w:tcW w:w="544" w:type="dxa"/>
            <w:shd w:val="clear" w:color="auto" w:fill="FFFF00"/>
            <w:textDirection w:val="btLr"/>
          </w:tcPr>
          <w:p w14:paraId="5912A678" w14:textId="77777777" w:rsidR="00A029DD" w:rsidRPr="00C11B88" w:rsidRDefault="00A029DD" w:rsidP="009F0DC8">
            <w:pPr>
              <w:spacing w:after="160" w:line="259" w:lineRule="auto"/>
              <w:ind w:left="113" w:right="113"/>
              <w:jc w:val="center"/>
              <w:rPr>
                <w:b/>
                <w:bCs/>
                <w:sz w:val="18"/>
                <w:szCs w:val="18"/>
              </w:rPr>
            </w:pPr>
            <w:r w:rsidRPr="002475C0">
              <w:t>&lt;10%</w:t>
            </w:r>
          </w:p>
        </w:tc>
        <w:tc>
          <w:tcPr>
            <w:tcW w:w="548" w:type="dxa"/>
            <w:gridSpan w:val="2"/>
            <w:shd w:val="clear" w:color="auto" w:fill="FFFF00"/>
            <w:textDirection w:val="btLr"/>
          </w:tcPr>
          <w:p w14:paraId="3B893FAE" w14:textId="77777777" w:rsidR="00A029DD" w:rsidRPr="00C11B88" w:rsidRDefault="00A029DD" w:rsidP="009F0DC8">
            <w:pPr>
              <w:spacing w:after="160" w:line="259" w:lineRule="auto"/>
              <w:ind w:left="113" w:right="113"/>
              <w:jc w:val="center"/>
              <w:rPr>
                <w:b/>
                <w:bCs/>
                <w:sz w:val="18"/>
                <w:szCs w:val="18"/>
              </w:rPr>
            </w:pPr>
            <w:r w:rsidRPr="002475C0">
              <w:t>&lt;10%</w:t>
            </w:r>
          </w:p>
        </w:tc>
      </w:tr>
      <w:tr w:rsidR="00A029DD" w:rsidRPr="006A20E6" w14:paraId="02174BB4" w14:textId="77777777" w:rsidTr="009F0DC8">
        <w:trPr>
          <w:cantSplit/>
          <w:trHeight w:val="1134"/>
        </w:trPr>
        <w:tc>
          <w:tcPr>
            <w:tcW w:w="1544" w:type="dxa"/>
            <w:vAlign w:val="center"/>
          </w:tcPr>
          <w:p w14:paraId="542D42CE" w14:textId="0AAD7F73" w:rsidR="00A029DD" w:rsidRPr="00EE6B17" w:rsidRDefault="00A029DD" w:rsidP="009F0DC8">
            <w:pPr>
              <w:spacing w:after="160" w:line="259" w:lineRule="auto"/>
              <w:rPr>
                <w:b/>
                <w:bCs/>
                <w:sz w:val="22"/>
                <w:szCs w:val="22"/>
              </w:rPr>
            </w:pPr>
            <w:r>
              <w:rPr>
                <w:sz w:val="18"/>
                <w:szCs w:val="18"/>
              </w:rPr>
              <w:t xml:space="preserve">3.2. </w:t>
            </w:r>
            <w:r w:rsidRPr="00EE6B17">
              <w:rPr>
                <w:sz w:val="18"/>
                <w:szCs w:val="18"/>
              </w:rPr>
              <w:t>Neatliekamo hospitalizāciju skaita samazinājums</w:t>
            </w:r>
          </w:p>
        </w:tc>
        <w:tc>
          <w:tcPr>
            <w:tcW w:w="420" w:type="dxa"/>
            <w:shd w:val="clear" w:color="auto" w:fill="FFFF00"/>
            <w:textDirection w:val="btLr"/>
          </w:tcPr>
          <w:p w14:paraId="6768C135" w14:textId="77777777" w:rsidR="00A029DD" w:rsidRPr="00C11B88" w:rsidRDefault="00A029DD" w:rsidP="009F0DC8">
            <w:pPr>
              <w:spacing w:after="160" w:line="259" w:lineRule="auto"/>
              <w:ind w:left="113" w:right="113"/>
              <w:jc w:val="center"/>
              <w:rPr>
                <w:b/>
                <w:bCs/>
                <w:sz w:val="18"/>
                <w:szCs w:val="18"/>
              </w:rPr>
            </w:pPr>
            <w:r w:rsidRPr="002475C0">
              <w:t>&gt;20%</w:t>
            </w:r>
          </w:p>
        </w:tc>
        <w:tc>
          <w:tcPr>
            <w:tcW w:w="441" w:type="dxa"/>
            <w:gridSpan w:val="2"/>
            <w:shd w:val="clear" w:color="auto" w:fill="FFFF00"/>
            <w:textDirection w:val="btLr"/>
          </w:tcPr>
          <w:p w14:paraId="38C90F6E" w14:textId="77777777" w:rsidR="00A029DD" w:rsidRPr="00C11B88" w:rsidRDefault="00A029DD" w:rsidP="009F0DC8">
            <w:pPr>
              <w:spacing w:after="160" w:line="259" w:lineRule="auto"/>
              <w:ind w:left="113" w:right="113"/>
              <w:jc w:val="center"/>
              <w:rPr>
                <w:b/>
                <w:bCs/>
                <w:sz w:val="18"/>
                <w:szCs w:val="18"/>
              </w:rPr>
            </w:pPr>
            <w:r w:rsidRPr="002475C0">
              <w:t>&gt;20%</w:t>
            </w:r>
          </w:p>
        </w:tc>
        <w:tc>
          <w:tcPr>
            <w:tcW w:w="425" w:type="dxa"/>
            <w:shd w:val="clear" w:color="auto" w:fill="FFFF00"/>
            <w:textDirection w:val="btLr"/>
          </w:tcPr>
          <w:p w14:paraId="1461CE7F" w14:textId="77777777" w:rsidR="00A029DD" w:rsidRPr="00C11B88" w:rsidRDefault="00A029DD" w:rsidP="009F0DC8">
            <w:pPr>
              <w:spacing w:after="160" w:line="259" w:lineRule="auto"/>
              <w:ind w:left="113" w:right="113"/>
              <w:jc w:val="center"/>
              <w:rPr>
                <w:b/>
                <w:bCs/>
                <w:sz w:val="18"/>
                <w:szCs w:val="18"/>
              </w:rPr>
            </w:pPr>
            <w:r w:rsidRPr="00B615C5">
              <w:t>&gt;</w:t>
            </w:r>
            <w:r w:rsidRPr="002475C0">
              <w:t>15</w:t>
            </w:r>
            <w:r>
              <w:t>%</w:t>
            </w:r>
          </w:p>
        </w:tc>
        <w:tc>
          <w:tcPr>
            <w:tcW w:w="546" w:type="dxa"/>
            <w:shd w:val="clear" w:color="auto" w:fill="FFFF00"/>
            <w:textDirection w:val="btLr"/>
          </w:tcPr>
          <w:p w14:paraId="073BA852" w14:textId="77777777" w:rsidR="00A029DD" w:rsidRPr="00C11B88" w:rsidRDefault="00A029DD" w:rsidP="009F0DC8">
            <w:pPr>
              <w:spacing w:after="160" w:line="259" w:lineRule="auto"/>
              <w:ind w:left="113" w:right="113"/>
              <w:jc w:val="center"/>
              <w:rPr>
                <w:b/>
                <w:bCs/>
                <w:sz w:val="18"/>
                <w:szCs w:val="18"/>
              </w:rPr>
            </w:pPr>
            <w:r w:rsidRPr="00B615C5">
              <w:t>&gt;15</w:t>
            </w:r>
            <w:r>
              <w:t>%</w:t>
            </w:r>
          </w:p>
        </w:tc>
        <w:tc>
          <w:tcPr>
            <w:tcW w:w="542" w:type="dxa"/>
            <w:gridSpan w:val="2"/>
            <w:shd w:val="clear" w:color="auto" w:fill="FFFF00"/>
            <w:textDirection w:val="btLr"/>
          </w:tcPr>
          <w:p w14:paraId="16B4FE86" w14:textId="77777777" w:rsidR="00A029DD" w:rsidRPr="00C11B88" w:rsidRDefault="00A029DD" w:rsidP="009F0DC8">
            <w:pPr>
              <w:spacing w:after="160" w:line="259" w:lineRule="auto"/>
              <w:ind w:left="113" w:right="113"/>
              <w:jc w:val="center"/>
              <w:rPr>
                <w:b/>
                <w:bCs/>
                <w:sz w:val="18"/>
                <w:szCs w:val="18"/>
              </w:rPr>
            </w:pPr>
            <w:r w:rsidRPr="00B615C5">
              <w:t>&gt;15</w:t>
            </w:r>
            <w:r>
              <w:t>%</w:t>
            </w:r>
          </w:p>
        </w:tc>
        <w:tc>
          <w:tcPr>
            <w:tcW w:w="544" w:type="dxa"/>
            <w:shd w:val="clear" w:color="auto" w:fill="FFFF00"/>
            <w:textDirection w:val="btLr"/>
          </w:tcPr>
          <w:p w14:paraId="38951F04" w14:textId="77777777" w:rsidR="00A029DD" w:rsidRPr="00C11B88" w:rsidRDefault="00A029DD" w:rsidP="009F0DC8">
            <w:pPr>
              <w:spacing w:after="160" w:line="259" w:lineRule="auto"/>
              <w:ind w:left="113" w:right="113"/>
              <w:jc w:val="center"/>
              <w:rPr>
                <w:b/>
                <w:bCs/>
                <w:sz w:val="18"/>
                <w:szCs w:val="18"/>
              </w:rPr>
            </w:pPr>
            <w:r w:rsidRPr="002475C0">
              <w:t>15-20%</w:t>
            </w:r>
          </w:p>
        </w:tc>
        <w:tc>
          <w:tcPr>
            <w:tcW w:w="544" w:type="dxa"/>
            <w:shd w:val="clear" w:color="auto" w:fill="FFFF00"/>
            <w:textDirection w:val="btLr"/>
          </w:tcPr>
          <w:p w14:paraId="4BD3A91B" w14:textId="77777777" w:rsidR="00A029DD" w:rsidRPr="00C11B88" w:rsidRDefault="00A029DD" w:rsidP="009F0DC8">
            <w:pPr>
              <w:spacing w:after="160" w:line="259" w:lineRule="auto"/>
              <w:ind w:left="113" w:right="113"/>
              <w:jc w:val="center"/>
              <w:rPr>
                <w:b/>
                <w:bCs/>
                <w:sz w:val="18"/>
                <w:szCs w:val="18"/>
              </w:rPr>
            </w:pPr>
            <w:r w:rsidRPr="002475C0">
              <w:t>15-20%</w:t>
            </w:r>
          </w:p>
        </w:tc>
        <w:tc>
          <w:tcPr>
            <w:tcW w:w="544" w:type="dxa"/>
            <w:shd w:val="clear" w:color="auto" w:fill="FFFF00"/>
            <w:textDirection w:val="btLr"/>
          </w:tcPr>
          <w:p w14:paraId="120B43AF" w14:textId="77777777" w:rsidR="00A029DD" w:rsidRPr="00C11B88" w:rsidRDefault="00A029DD" w:rsidP="009F0DC8">
            <w:pPr>
              <w:spacing w:after="160" w:line="259" w:lineRule="auto"/>
              <w:ind w:left="113" w:right="113"/>
              <w:jc w:val="center"/>
              <w:rPr>
                <w:b/>
                <w:bCs/>
                <w:sz w:val="18"/>
                <w:szCs w:val="18"/>
              </w:rPr>
            </w:pPr>
            <w:r w:rsidRPr="002475C0">
              <w:t>10-15%</w:t>
            </w:r>
          </w:p>
        </w:tc>
        <w:tc>
          <w:tcPr>
            <w:tcW w:w="544" w:type="dxa"/>
            <w:shd w:val="clear" w:color="auto" w:fill="FFFF00"/>
            <w:textDirection w:val="btLr"/>
          </w:tcPr>
          <w:p w14:paraId="55304001" w14:textId="77777777" w:rsidR="00A029DD" w:rsidRPr="00C11B88" w:rsidRDefault="00A029DD" w:rsidP="009F0DC8">
            <w:pPr>
              <w:spacing w:after="160" w:line="259" w:lineRule="auto"/>
              <w:ind w:left="113" w:right="113"/>
              <w:jc w:val="center"/>
              <w:rPr>
                <w:b/>
                <w:bCs/>
                <w:sz w:val="18"/>
                <w:szCs w:val="18"/>
              </w:rPr>
            </w:pPr>
            <w:r w:rsidRPr="002475C0">
              <w:t>10-15%</w:t>
            </w:r>
          </w:p>
        </w:tc>
        <w:tc>
          <w:tcPr>
            <w:tcW w:w="548" w:type="dxa"/>
            <w:gridSpan w:val="2"/>
            <w:shd w:val="clear" w:color="auto" w:fill="FFFF00"/>
            <w:textDirection w:val="btLr"/>
          </w:tcPr>
          <w:p w14:paraId="37143F61" w14:textId="77777777" w:rsidR="00A029DD" w:rsidRPr="00C11B88" w:rsidRDefault="00A029DD" w:rsidP="009F0DC8">
            <w:pPr>
              <w:spacing w:after="160" w:line="259" w:lineRule="auto"/>
              <w:ind w:left="113" w:right="113"/>
              <w:jc w:val="center"/>
              <w:rPr>
                <w:b/>
                <w:bCs/>
                <w:sz w:val="18"/>
                <w:szCs w:val="18"/>
              </w:rPr>
            </w:pPr>
            <w:r w:rsidRPr="002475C0">
              <w:t>10-15%</w:t>
            </w:r>
          </w:p>
        </w:tc>
        <w:tc>
          <w:tcPr>
            <w:tcW w:w="544" w:type="dxa"/>
            <w:shd w:val="clear" w:color="auto" w:fill="FFFF00"/>
            <w:textDirection w:val="btLr"/>
          </w:tcPr>
          <w:p w14:paraId="1ED03DFD" w14:textId="77777777" w:rsidR="00A029DD" w:rsidRPr="00C11B88" w:rsidRDefault="00A029DD" w:rsidP="009F0DC8">
            <w:pPr>
              <w:spacing w:after="160" w:line="259" w:lineRule="auto"/>
              <w:ind w:left="113" w:right="113"/>
              <w:jc w:val="center"/>
              <w:rPr>
                <w:b/>
                <w:bCs/>
                <w:sz w:val="18"/>
                <w:szCs w:val="18"/>
              </w:rPr>
            </w:pPr>
            <w:r w:rsidRPr="002475C0">
              <w:t>&lt;15%</w:t>
            </w:r>
          </w:p>
        </w:tc>
        <w:tc>
          <w:tcPr>
            <w:tcW w:w="544" w:type="dxa"/>
            <w:shd w:val="clear" w:color="auto" w:fill="FFFF00"/>
            <w:textDirection w:val="btLr"/>
          </w:tcPr>
          <w:p w14:paraId="35E6CCE8" w14:textId="77777777" w:rsidR="00A029DD" w:rsidRPr="00C11B88" w:rsidRDefault="00A029DD" w:rsidP="009F0DC8">
            <w:pPr>
              <w:spacing w:after="160" w:line="259" w:lineRule="auto"/>
              <w:ind w:left="113" w:right="113"/>
              <w:jc w:val="center"/>
              <w:rPr>
                <w:b/>
                <w:bCs/>
                <w:sz w:val="18"/>
                <w:szCs w:val="18"/>
              </w:rPr>
            </w:pPr>
            <w:r w:rsidRPr="002475C0">
              <w:t>&lt;15%</w:t>
            </w:r>
          </w:p>
        </w:tc>
        <w:tc>
          <w:tcPr>
            <w:tcW w:w="544" w:type="dxa"/>
            <w:shd w:val="clear" w:color="auto" w:fill="FFFF00"/>
            <w:textDirection w:val="btLr"/>
          </w:tcPr>
          <w:p w14:paraId="724FAA62" w14:textId="77777777" w:rsidR="00A029DD" w:rsidRPr="00C11B88" w:rsidRDefault="00A029DD" w:rsidP="009F0DC8">
            <w:pPr>
              <w:spacing w:after="160" w:line="259" w:lineRule="auto"/>
              <w:ind w:left="113" w:right="113"/>
              <w:jc w:val="center"/>
              <w:rPr>
                <w:b/>
                <w:bCs/>
                <w:sz w:val="18"/>
                <w:szCs w:val="18"/>
              </w:rPr>
            </w:pPr>
            <w:r w:rsidRPr="002475C0">
              <w:t>&lt;10%</w:t>
            </w:r>
          </w:p>
        </w:tc>
        <w:tc>
          <w:tcPr>
            <w:tcW w:w="544" w:type="dxa"/>
            <w:shd w:val="clear" w:color="auto" w:fill="FFFF00"/>
            <w:textDirection w:val="btLr"/>
          </w:tcPr>
          <w:p w14:paraId="75486417" w14:textId="77777777" w:rsidR="00A029DD" w:rsidRPr="00C11B88" w:rsidRDefault="00A029DD" w:rsidP="009F0DC8">
            <w:pPr>
              <w:spacing w:after="160" w:line="259" w:lineRule="auto"/>
              <w:ind w:left="113" w:right="113"/>
              <w:jc w:val="center"/>
              <w:rPr>
                <w:b/>
                <w:bCs/>
                <w:sz w:val="18"/>
                <w:szCs w:val="18"/>
              </w:rPr>
            </w:pPr>
            <w:r w:rsidRPr="002475C0">
              <w:t>&lt;10%</w:t>
            </w:r>
          </w:p>
        </w:tc>
        <w:tc>
          <w:tcPr>
            <w:tcW w:w="548" w:type="dxa"/>
            <w:gridSpan w:val="2"/>
            <w:shd w:val="clear" w:color="auto" w:fill="FFFF00"/>
            <w:textDirection w:val="btLr"/>
          </w:tcPr>
          <w:p w14:paraId="7534B52C" w14:textId="77777777" w:rsidR="00A029DD" w:rsidRPr="00C11B88" w:rsidRDefault="00A029DD" w:rsidP="009F0DC8">
            <w:pPr>
              <w:spacing w:after="160" w:line="259" w:lineRule="auto"/>
              <w:ind w:left="113" w:right="113"/>
              <w:jc w:val="center"/>
              <w:rPr>
                <w:b/>
                <w:bCs/>
                <w:sz w:val="18"/>
                <w:szCs w:val="18"/>
              </w:rPr>
            </w:pPr>
            <w:r w:rsidRPr="002475C0">
              <w:t>&lt;10%</w:t>
            </w:r>
          </w:p>
        </w:tc>
      </w:tr>
      <w:tr w:rsidR="00A029DD" w:rsidRPr="006A20E6" w14:paraId="1DDC20BC" w14:textId="77777777" w:rsidTr="009F0DC8">
        <w:trPr>
          <w:cantSplit/>
          <w:trHeight w:val="637"/>
        </w:trPr>
        <w:tc>
          <w:tcPr>
            <w:tcW w:w="1544" w:type="dxa"/>
            <w:vAlign w:val="center"/>
          </w:tcPr>
          <w:p w14:paraId="52BFEF76" w14:textId="20F05357" w:rsidR="00A029DD" w:rsidRPr="00923806" w:rsidRDefault="00A029DD" w:rsidP="009F0DC8">
            <w:pPr>
              <w:spacing w:after="160" w:line="259" w:lineRule="auto"/>
              <w:rPr>
                <w:sz w:val="18"/>
                <w:szCs w:val="18"/>
              </w:rPr>
            </w:pPr>
            <w:r>
              <w:rPr>
                <w:sz w:val="18"/>
                <w:szCs w:val="18"/>
              </w:rPr>
              <w:t>3.3.</w:t>
            </w:r>
            <w:r>
              <w:t xml:space="preserve"> </w:t>
            </w:r>
            <w:r w:rsidRPr="00D772D6">
              <w:rPr>
                <w:sz w:val="18"/>
                <w:szCs w:val="18"/>
              </w:rPr>
              <w:t>Pakalpojumu saņēmēju apmierinātības anketu aptveres rādītājs</w:t>
            </w:r>
          </w:p>
        </w:tc>
        <w:tc>
          <w:tcPr>
            <w:tcW w:w="420" w:type="dxa"/>
            <w:textDirection w:val="btLr"/>
            <w:vAlign w:val="center"/>
          </w:tcPr>
          <w:p w14:paraId="28526F1E" w14:textId="77777777" w:rsidR="00A029DD" w:rsidRPr="00EE6B17" w:rsidRDefault="00A029DD" w:rsidP="009F0DC8">
            <w:pPr>
              <w:spacing w:after="160" w:line="259" w:lineRule="auto"/>
              <w:ind w:left="113" w:right="113"/>
              <w:jc w:val="center"/>
              <w:rPr>
                <w:sz w:val="18"/>
                <w:szCs w:val="18"/>
              </w:rPr>
            </w:pPr>
            <w:r>
              <w:rPr>
                <w:sz w:val="18"/>
                <w:szCs w:val="18"/>
              </w:rPr>
              <w:t>≤59%</w:t>
            </w:r>
          </w:p>
        </w:tc>
        <w:tc>
          <w:tcPr>
            <w:tcW w:w="441" w:type="dxa"/>
            <w:gridSpan w:val="2"/>
            <w:textDirection w:val="btLr"/>
            <w:vAlign w:val="center"/>
          </w:tcPr>
          <w:p w14:paraId="7D7D95EE" w14:textId="77777777" w:rsidR="00A029DD" w:rsidRPr="00EE6B17" w:rsidRDefault="00A029DD" w:rsidP="009F0DC8">
            <w:pPr>
              <w:spacing w:after="160" w:line="259" w:lineRule="auto"/>
              <w:ind w:left="113" w:right="113"/>
              <w:jc w:val="center"/>
              <w:rPr>
                <w:sz w:val="18"/>
                <w:szCs w:val="18"/>
              </w:rPr>
            </w:pPr>
            <w:r>
              <w:rPr>
                <w:sz w:val="18"/>
                <w:szCs w:val="18"/>
              </w:rPr>
              <w:t>≤59%</w:t>
            </w:r>
          </w:p>
        </w:tc>
        <w:tc>
          <w:tcPr>
            <w:tcW w:w="425" w:type="dxa"/>
            <w:textDirection w:val="btLr"/>
            <w:vAlign w:val="center"/>
          </w:tcPr>
          <w:p w14:paraId="55EDC8F7" w14:textId="77777777" w:rsidR="00A029DD" w:rsidRPr="00EE6B17" w:rsidRDefault="00A029DD" w:rsidP="009F0DC8">
            <w:pPr>
              <w:spacing w:after="160" w:line="259" w:lineRule="auto"/>
              <w:ind w:left="113" w:right="113"/>
              <w:jc w:val="center"/>
              <w:rPr>
                <w:sz w:val="18"/>
                <w:szCs w:val="18"/>
              </w:rPr>
            </w:pPr>
            <w:r>
              <w:rPr>
                <w:sz w:val="18"/>
                <w:szCs w:val="18"/>
              </w:rPr>
              <w:t>≤64%</w:t>
            </w:r>
          </w:p>
        </w:tc>
        <w:tc>
          <w:tcPr>
            <w:tcW w:w="546" w:type="dxa"/>
            <w:textDirection w:val="btLr"/>
            <w:vAlign w:val="center"/>
          </w:tcPr>
          <w:p w14:paraId="1E438F2A" w14:textId="77777777" w:rsidR="00A029DD" w:rsidRPr="00EE6B17" w:rsidRDefault="00A029DD" w:rsidP="009F0DC8">
            <w:pPr>
              <w:spacing w:after="160" w:line="259" w:lineRule="auto"/>
              <w:ind w:left="113" w:right="113"/>
              <w:jc w:val="center"/>
              <w:rPr>
                <w:sz w:val="18"/>
                <w:szCs w:val="18"/>
              </w:rPr>
            </w:pPr>
            <w:r>
              <w:rPr>
                <w:sz w:val="18"/>
                <w:szCs w:val="18"/>
              </w:rPr>
              <w:t>≤64%</w:t>
            </w:r>
          </w:p>
        </w:tc>
        <w:tc>
          <w:tcPr>
            <w:tcW w:w="542" w:type="dxa"/>
            <w:gridSpan w:val="2"/>
            <w:textDirection w:val="btLr"/>
            <w:vAlign w:val="center"/>
          </w:tcPr>
          <w:p w14:paraId="20D7F329" w14:textId="77777777" w:rsidR="00A029DD" w:rsidRPr="00EE6B17" w:rsidRDefault="00A029DD" w:rsidP="009F0DC8">
            <w:pPr>
              <w:spacing w:after="160" w:line="259" w:lineRule="auto"/>
              <w:ind w:left="113" w:right="113"/>
              <w:jc w:val="center"/>
              <w:rPr>
                <w:sz w:val="18"/>
                <w:szCs w:val="18"/>
              </w:rPr>
            </w:pPr>
            <w:r>
              <w:rPr>
                <w:sz w:val="18"/>
                <w:szCs w:val="18"/>
              </w:rPr>
              <w:t>≤69%</w:t>
            </w:r>
          </w:p>
        </w:tc>
        <w:tc>
          <w:tcPr>
            <w:tcW w:w="544" w:type="dxa"/>
            <w:textDirection w:val="btLr"/>
            <w:vAlign w:val="center"/>
          </w:tcPr>
          <w:p w14:paraId="17982884" w14:textId="77777777" w:rsidR="00A029DD" w:rsidRPr="00EE6B17" w:rsidRDefault="00A029DD" w:rsidP="009F0DC8">
            <w:pPr>
              <w:spacing w:after="160" w:line="259" w:lineRule="auto"/>
              <w:ind w:left="113" w:right="113"/>
              <w:jc w:val="center"/>
              <w:rPr>
                <w:sz w:val="18"/>
                <w:szCs w:val="18"/>
              </w:rPr>
            </w:pPr>
            <w:r>
              <w:rPr>
                <w:sz w:val="18"/>
                <w:szCs w:val="18"/>
              </w:rPr>
              <w:t>60% – 64%</w:t>
            </w:r>
          </w:p>
        </w:tc>
        <w:tc>
          <w:tcPr>
            <w:tcW w:w="544" w:type="dxa"/>
            <w:textDirection w:val="btLr"/>
            <w:vAlign w:val="center"/>
          </w:tcPr>
          <w:p w14:paraId="43570168" w14:textId="77777777" w:rsidR="00A029DD" w:rsidRPr="00EE6B17" w:rsidRDefault="00A029DD" w:rsidP="009F0DC8">
            <w:pPr>
              <w:spacing w:after="160" w:line="259" w:lineRule="auto"/>
              <w:ind w:left="113" w:right="113"/>
              <w:jc w:val="center"/>
              <w:rPr>
                <w:sz w:val="18"/>
                <w:szCs w:val="18"/>
              </w:rPr>
            </w:pPr>
            <w:r>
              <w:rPr>
                <w:sz w:val="18"/>
                <w:szCs w:val="18"/>
              </w:rPr>
              <w:t>60% – 64%</w:t>
            </w:r>
          </w:p>
        </w:tc>
        <w:tc>
          <w:tcPr>
            <w:tcW w:w="544" w:type="dxa"/>
            <w:textDirection w:val="btLr"/>
            <w:vAlign w:val="center"/>
          </w:tcPr>
          <w:p w14:paraId="7BDDC81F" w14:textId="77777777" w:rsidR="00A029DD" w:rsidRPr="00EE6B17" w:rsidRDefault="00A029DD" w:rsidP="009F0DC8">
            <w:pPr>
              <w:spacing w:after="160" w:line="259" w:lineRule="auto"/>
              <w:ind w:left="113" w:right="113"/>
              <w:jc w:val="center"/>
              <w:rPr>
                <w:sz w:val="18"/>
                <w:szCs w:val="18"/>
              </w:rPr>
            </w:pPr>
            <w:r>
              <w:rPr>
                <w:sz w:val="18"/>
                <w:szCs w:val="18"/>
              </w:rPr>
              <w:t>65% – 69%</w:t>
            </w:r>
          </w:p>
        </w:tc>
        <w:tc>
          <w:tcPr>
            <w:tcW w:w="555" w:type="dxa"/>
            <w:gridSpan w:val="2"/>
            <w:textDirection w:val="btLr"/>
            <w:vAlign w:val="center"/>
          </w:tcPr>
          <w:p w14:paraId="06534932" w14:textId="77777777" w:rsidR="00A029DD" w:rsidRPr="00EE6B17" w:rsidRDefault="00A029DD" w:rsidP="009F0DC8">
            <w:pPr>
              <w:spacing w:after="160" w:line="259" w:lineRule="auto"/>
              <w:ind w:left="113" w:right="113"/>
              <w:jc w:val="center"/>
              <w:rPr>
                <w:sz w:val="18"/>
                <w:szCs w:val="18"/>
              </w:rPr>
            </w:pPr>
            <w:r>
              <w:rPr>
                <w:sz w:val="18"/>
                <w:szCs w:val="18"/>
              </w:rPr>
              <w:t>65% – 69%</w:t>
            </w:r>
          </w:p>
        </w:tc>
        <w:tc>
          <w:tcPr>
            <w:tcW w:w="537" w:type="dxa"/>
            <w:textDirection w:val="btLr"/>
            <w:vAlign w:val="center"/>
          </w:tcPr>
          <w:p w14:paraId="442BC76C" w14:textId="77777777" w:rsidR="00A029DD" w:rsidRPr="00EE6B17" w:rsidRDefault="00A029DD" w:rsidP="009F0DC8">
            <w:pPr>
              <w:spacing w:after="160" w:line="259" w:lineRule="auto"/>
              <w:ind w:left="113" w:right="113"/>
              <w:jc w:val="center"/>
              <w:rPr>
                <w:sz w:val="18"/>
                <w:szCs w:val="18"/>
              </w:rPr>
            </w:pPr>
            <w:r>
              <w:rPr>
                <w:sz w:val="18"/>
                <w:szCs w:val="18"/>
              </w:rPr>
              <w:t>70% – 74%</w:t>
            </w:r>
          </w:p>
        </w:tc>
        <w:tc>
          <w:tcPr>
            <w:tcW w:w="544" w:type="dxa"/>
            <w:textDirection w:val="btLr"/>
            <w:vAlign w:val="center"/>
          </w:tcPr>
          <w:p w14:paraId="5E8E6648" w14:textId="77777777" w:rsidR="00A029DD" w:rsidRPr="00EE6B17" w:rsidRDefault="00A029DD" w:rsidP="009F0DC8">
            <w:pPr>
              <w:spacing w:after="160" w:line="259" w:lineRule="auto"/>
              <w:ind w:left="113" w:right="113"/>
              <w:jc w:val="center"/>
              <w:rPr>
                <w:sz w:val="18"/>
                <w:szCs w:val="18"/>
              </w:rPr>
            </w:pPr>
            <w:r>
              <w:rPr>
                <w:sz w:val="18"/>
                <w:szCs w:val="18"/>
              </w:rPr>
              <w:t>≥65</w:t>
            </w:r>
            <w:r w:rsidRPr="00D21460">
              <w:rPr>
                <w:sz w:val="18"/>
                <w:szCs w:val="18"/>
              </w:rPr>
              <w:t>%</w:t>
            </w:r>
          </w:p>
        </w:tc>
        <w:tc>
          <w:tcPr>
            <w:tcW w:w="544" w:type="dxa"/>
            <w:textDirection w:val="btLr"/>
            <w:vAlign w:val="center"/>
          </w:tcPr>
          <w:p w14:paraId="17F6AF27" w14:textId="77777777" w:rsidR="00A029DD" w:rsidRPr="00EE6B17" w:rsidRDefault="00A029DD" w:rsidP="009F0DC8">
            <w:pPr>
              <w:spacing w:after="160" w:line="259" w:lineRule="auto"/>
              <w:ind w:left="113" w:right="113"/>
              <w:jc w:val="center"/>
              <w:rPr>
                <w:sz w:val="18"/>
                <w:szCs w:val="18"/>
              </w:rPr>
            </w:pPr>
            <w:r>
              <w:rPr>
                <w:sz w:val="18"/>
                <w:szCs w:val="18"/>
              </w:rPr>
              <w:t>≥6</w:t>
            </w:r>
            <w:r w:rsidRPr="00D21460">
              <w:rPr>
                <w:sz w:val="18"/>
                <w:szCs w:val="18"/>
              </w:rPr>
              <w:t>5%</w:t>
            </w:r>
          </w:p>
        </w:tc>
        <w:tc>
          <w:tcPr>
            <w:tcW w:w="544" w:type="dxa"/>
            <w:textDirection w:val="btLr"/>
            <w:vAlign w:val="center"/>
          </w:tcPr>
          <w:p w14:paraId="6DAA1A38" w14:textId="77777777" w:rsidR="00A029DD" w:rsidRPr="00EE6B17" w:rsidRDefault="00A029DD" w:rsidP="009F0DC8">
            <w:pPr>
              <w:spacing w:after="160" w:line="259" w:lineRule="auto"/>
              <w:ind w:left="113" w:right="113"/>
              <w:jc w:val="center"/>
              <w:rPr>
                <w:sz w:val="18"/>
                <w:szCs w:val="18"/>
              </w:rPr>
            </w:pPr>
            <w:r>
              <w:rPr>
                <w:sz w:val="18"/>
                <w:szCs w:val="18"/>
              </w:rPr>
              <w:t>≥7</w:t>
            </w:r>
            <w:r w:rsidRPr="00D21460">
              <w:rPr>
                <w:sz w:val="18"/>
                <w:szCs w:val="18"/>
              </w:rPr>
              <w:t>0%</w:t>
            </w:r>
          </w:p>
        </w:tc>
        <w:tc>
          <w:tcPr>
            <w:tcW w:w="555" w:type="dxa"/>
            <w:gridSpan w:val="2"/>
            <w:textDirection w:val="btLr"/>
            <w:vAlign w:val="center"/>
          </w:tcPr>
          <w:p w14:paraId="31BCD93F" w14:textId="77777777" w:rsidR="00A029DD" w:rsidRPr="00EE6B17" w:rsidRDefault="00A029DD" w:rsidP="009F0DC8">
            <w:pPr>
              <w:spacing w:after="160" w:line="259" w:lineRule="auto"/>
              <w:ind w:left="113" w:right="113"/>
              <w:jc w:val="center"/>
              <w:rPr>
                <w:sz w:val="18"/>
                <w:szCs w:val="18"/>
              </w:rPr>
            </w:pPr>
            <w:r>
              <w:rPr>
                <w:sz w:val="18"/>
                <w:szCs w:val="18"/>
              </w:rPr>
              <w:t>≥7</w:t>
            </w:r>
            <w:r w:rsidRPr="00D21460">
              <w:rPr>
                <w:sz w:val="18"/>
                <w:szCs w:val="18"/>
              </w:rPr>
              <w:t>0%</w:t>
            </w:r>
          </w:p>
        </w:tc>
        <w:tc>
          <w:tcPr>
            <w:tcW w:w="537" w:type="dxa"/>
            <w:textDirection w:val="btLr"/>
            <w:vAlign w:val="center"/>
          </w:tcPr>
          <w:p w14:paraId="34E705F4" w14:textId="77777777" w:rsidR="00A029DD" w:rsidRPr="00EE6B17" w:rsidRDefault="00A029DD" w:rsidP="009F0DC8">
            <w:pPr>
              <w:spacing w:after="160" w:line="259" w:lineRule="auto"/>
              <w:ind w:left="113" w:right="113"/>
              <w:jc w:val="center"/>
              <w:rPr>
                <w:sz w:val="18"/>
                <w:szCs w:val="18"/>
              </w:rPr>
            </w:pPr>
            <w:r>
              <w:rPr>
                <w:sz w:val="18"/>
                <w:szCs w:val="18"/>
              </w:rPr>
              <w:t>≥75</w:t>
            </w:r>
            <w:r w:rsidRPr="00D21460">
              <w:rPr>
                <w:sz w:val="18"/>
                <w:szCs w:val="18"/>
              </w:rPr>
              <w:t>%</w:t>
            </w:r>
          </w:p>
        </w:tc>
      </w:tr>
      <w:tr w:rsidR="00A029DD" w:rsidRPr="006A20E6" w14:paraId="63DB1678" w14:textId="77777777" w:rsidTr="009F0DC8">
        <w:trPr>
          <w:cantSplit/>
          <w:trHeight w:val="1134"/>
        </w:trPr>
        <w:tc>
          <w:tcPr>
            <w:tcW w:w="1544" w:type="dxa"/>
            <w:vAlign w:val="center"/>
          </w:tcPr>
          <w:p w14:paraId="20E07D87" w14:textId="7CB4C832" w:rsidR="00A029DD" w:rsidRPr="00EA54AF" w:rsidRDefault="00A029DD" w:rsidP="009F0DC8">
            <w:pPr>
              <w:rPr>
                <w:sz w:val="18"/>
                <w:szCs w:val="18"/>
              </w:rPr>
            </w:pPr>
            <w:bookmarkStart w:id="0" w:name="_Hlk139627080"/>
            <w:r>
              <w:rPr>
                <w:sz w:val="18"/>
                <w:szCs w:val="18"/>
              </w:rPr>
              <w:t>3.4.</w:t>
            </w:r>
            <w:r w:rsidRPr="00EA54AF">
              <w:rPr>
                <w:sz w:val="18"/>
                <w:szCs w:val="18"/>
              </w:rPr>
              <w:t>Pakalpojuma saņēmēju apmierinātības rādītājs</w:t>
            </w:r>
          </w:p>
        </w:tc>
        <w:tc>
          <w:tcPr>
            <w:tcW w:w="420" w:type="dxa"/>
            <w:textDirection w:val="btLr"/>
            <w:vAlign w:val="center"/>
          </w:tcPr>
          <w:p w14:paraId="5F3C647B" w14:textId="77777777" w:rsidR="00A029DD" w:rsidRPr="00D21460" w:rsidRDefault="00A029DD" w:rsidP="009F0DC8">
            <w:pPr>
              <w:spacing w:after="160" w:line="259" w:lineRule="auto"/>
              <w:ind w:left="113" w:right="113"/>
              <w:jc w:val="center"/>
              <w:rPr>
                <w:sz w:val="18"/>
                <w:szCs w:val="18"/>
              </w:rPr>
            </w:pPr>
            <w:r>
              <w:rPr>
                <w:sz w:val="18"/>
                <w:szCs w:val="18"/>
              </w:rPr>
              <w:t>≤10</w:t>
            </w:r>
          </w:p>
        </w:tc>
        <w:tc>
          <w:tcPr>
            <w:tcW w:w="441" w:type="dxa"/>
            <w:gridSpan w:val="2"/>
            <w:textDirection w:val="btLr"/>
            <w:vAlign w:val="center"/>
          </w:tcPr>
          <w:p w14:paraId="2AE7A49E" w14:textId="77777777" w:rsidR="00A029DD" w:rsidRPr="00D21460" w:rsidRDefault="00A029DD" w:rsidP="009F0DC8">
            <w:pPr>
              <w:spacing w:after="160" w:line="259" w:lineRule="auto"/>
              <w:ind w:left="113" w:right="113"/>
              <w:jc w:val="center"/>
              <w:rPr>
                <w:sz w:val="18"/>
                <w:szCs w:val="18"/>
              </w:rPr>
            </w:pPr>
            <w:r>
              <w:rPr>
                <w:sz w:val="18"/>
                <w:szCs w:val="18"/>
              </w:rPr>
              <w:t>≤11</w:t>
            </w:r>
          </w:p>
        </w:tc>
        <w:tc>
          <w:tcPr>
            <w:tcW w:w="425" w:type="dxa"/>
            <w:textDirection w:val="btLr"/>
            <w:vAlign w:val="center"/>
          </w:tcPr>
          <w:p w14:paraId="13A30463" w14:textId="77777777" w:rsidR="00A029DD" w:rsidRPr="00D21460" w:rsidRDefault="00A029DD" w:rsidP="009F0DC8">
            <w:pPr>
              <w:spacing w:after="160" w:line="259" w:lineRule="auto"/>
              <w:ind w:left="113" w:right="113"/>
              <w:jc w:val="center"/>
              <w:rPr>
                <w:sz w:val="18"/>
                <w:szCs w:val="18"/>
              </w:rPr>
            </w:pPr>
            <w:r>
              <w:rPr>
                <w:sz w:val="18"/>
                <w:szCs w:val="18"/>
              </w:rPr>
              <w:t>≤12</w:t>
            </w:r>
          </w:p>
        </w:tc>
        <w:tc>
          <w:tcPr>
            <w:tcW w:w="546" w:type="dxa"/>
            <w:textDirection w:val="btLr"/>
            <w:vAlign w:val="center"/>
          </w:tcPr>
          <w:p w14:paraId="6FEC0C46" w14:textId="77777777" w:rsidR="00A029DD" w:rsidRPr="00D21460" w:rsidRDefault="00A029DD" w:rsidP="009F0DC8">
            <w:pPr>
              <w:spacing w:after="160" w:line="259" w:lineRule="auto"/>
              <w:ind w:left="113" w:right="113"/>
              <w:jc w:val="center"/>
              <w:rPr>
                <w:sz w:val="18"/>
                <w:szCs w:val="18"/>
              </w:rPr>
            </w:pPr>
            <w:r>
              <w:rPr>
                <w:sz w:val="18"/>
                <w:szCs w:val="18"/>
              </w:rPr>
              <w:t>≤13</w:t>
            </w:r>
          </w:p>
        </w:tc>
        <w:tc>
          <w:tcPr>
            <w:tcW w:w="542" w:type="dxa"/>
            <w:gridSpan w:val="2"/>
            <w:textDirection w:val="btLr"/>
            <w:vAlign w:val="center"/>
          </w:tcPr>
          <w:p w14:paraId="4D9FD01E" w14:textId="77777777" w:rsidR="00A029DD" w:rsidRPr="00D21460" w:rsidRDefault="00A029DD" w:rsidP="009F0DC8">
            <w:pPr>
              <w:spacing w:after="160" w:line="259" w:lineRule="auto"/>
              <w:ind w:left="113" w:right="113"/>
              <w:jc w:val="center"/>
              <w:rPr>
                <w:sz w:val="18"/>
                <w:szCs w:val="18"/>
              </w:rPr>
            </w:pPr>
            <w:r>
              <w:rPr>
                <w:sz w:val="18"/>
                <w:szCs w:val="18"/>
              </w:rPr>
              <w:t>≤14</w:t>
            </w:r>
          </w:p>
        </w:tc>
        <w:tc>
          <w:tcPr>
            <w:tcW w:w="544" w:type="dxa"/>
            <w:textDirection w:val="btLr"/>
            <w:vAlign w:val="center"/>
          </w:tcPr>
          <w:p w14:paraId="06FFDDF4" w14:textId="77777777" w:rsidR="00A029DD" w:rsidRPr="00D21460" w:rsidRDefault="00A029DD" w:rsidP="009F0DC8">
            <w:pPr>
              <w:spacing w:after="160" w:line="259" w:lineRule="auto"/>
              <w:ind w:left="113" w:right="113"/>
              <w:jc w:val="center"/>
              <w:rPr>
                <w:sz w:val="18"/>
                <w:szCs w:val="18"/>
              </w:rPr>
            </w:pPr>
            <w:r>
              <w:rPr>
                <w:sz w:val="18"/>
                <w:szCs w:val="18"/>
              </w:rPr>
              <w:t>11-12</w:t>
            </w:r>
          </w:p>
        </w:tc>
        <w:tc>
          <w:tcPr>
            <w:tcW w:w="544" w:type="dxa"/>
            <w:textDirection w:val="btLr"/>
            <w:vAlign w:val="center"/>
          </w:tcPr>
          <w:p w14:paraId="20F27EF5" w14:textId="77777777" w:rsidR="00A029DD" w:rsidRPr="00D21460" w:rsidRDefault="00A029DD" w:rsidP="009F0DC8">
            <w:pPr>
              <w:spacing w:after="160" w:line="259" w:lineRule="auto"/>
              <w:ind w:left="113" w:right="113"/>
              <w:jc w:val="center"/>
              <w:rPr>
                <w:sz w:val="18"/>
                <w:szCs w:val="18"/>
              </w:rPr>
            </w:pPr>
            <w:r>
              <w:rPr>
                <w:sz w:val="18"/>
                <w:szCs w:val="18"/>
              </w:rPr>
              <w:t>12-13</w:t>
            </w:r>
          </w:p>
        </w:tc>
        <w:tc>
          <w:tcPr>
            <w:tcW w:w="544" w:type="dxa"/>
            <w:textDirection w:val="btLr"/>
            <w:vAlign w:val="center"/>
          </w:tcPr>
          <w:p w14:paraId="11FD4204" w14:textId="77777777" w:rsidR="00A029DD" w:rsidRPr="00D21460" w:rsidRDefault="00A029DD" w:rsidP="009F0DC8">
            <w:pPr>
              <w:spacing w:after="160" w:line="259" w:lineRule="auto"/>
              <w:ind w:left="113" w:right="113"/>
              <w:jc w:val="center"/>
              <w:rPr>
                <w:sz w:val="18"/>
                <w:szCs w:val="18"/>
              </w:rPr>
            </w:pPr>
            <w:r>
              <w:rPr>
                <w:sz w:val="18"/>
                <w:szCs w:val="18"/>
              </w:rPr>
              <w:t>13-14</w:t>
            </w:r>
          </w:p>
        </w:tc>
        <w:tc>
          <w:tcPr>
            <w:tcW w:w="544" w:type="dxa"/>
            <w:textDirection w:val="btLr"/>
            <w:vAlign w:val="center"/>
          </w:tcPr>
          <w:p w14:paraId="3BDA5218" w14:textId="77777777" w:rsidR="00A029DD" w:rsidRPr="00D21460" w:rsidRDefault="00A029DD" w:rsidP="009F0DC8">
            <w:pPr>
              <w:spacing w:after="160" w:line="259" w:lineRule="auto"/>
              <w:ind w:left="113" w:right="113"/>
              <w:jc w:val="center"/>
              <w:rPr>
                <w:sz w:val="18"/>
                <w:szCs w:val="18"/>
              </w:rPr>
            </w:pPr>
            <w:r>
              <w:rPr>
                <w:sz w:val="18"/>
                <w:szCs w:val="18"/>
              </w:rPr>
              <w:t>14-15</w:t>
            </w:r>
          </w:p>
        </w:tc>
        <w:tc>
          <w:tcPr>
            <w:tcW w:w="548" w:type="dxa"/>
            <w:gridSpan w:val="2"/>
            <w:textDirection w:val="btLr"/>
            <w:vAlign w:val="center"/>
          </w:tcPr>
          <w:p w14:paraId="418C36DD" w14:textId="77777777" w:rsidR="00A029DD" w:rsidRPr="00D21460" w:rsidRDefault="00A029DD" w:rsidP="009F0DC8">
            <w:pPr>
              <w:spacing w:after="160" w:line="259" w:lineRule="auto"/>
              <w:ind w:left="113" w:right="113"/>
              <w:jc w:val="center"/>
              <w:rPr>
                <w:sz w:val="18"/>
                <w:szCs w:val="18"/>
              </w:rPr>
            </w:pPr>
            <w:r>
              <w:rPr>
                <w:sz w:val="18"/>
                <w:szCs w:val="18"/>
              </w:rPr>
              <w:t>15-16</w:t>
            </w:r>
          </w:p>
        </w:tc>
        <w:tc>
          <w:tcPr>
            <w:tcW w:w="544" w:type="dxa"/>
            <w:textDirection w:val="btLr"/>
            <w:vAlign w:val="center"/>
          </w:tcPr>
          <w:p w14:paraId="3B219573" w14:textId="77777777" w:rsidR="00A029DD" w:rsidRPr="00D21460" w:rsidRDefault="00A029DD" w:rsidP="009F0DC8">
            <w:pPr>
              <w:spacing w:after="160" w:line="259" w:lineRule="auto"/>
              <w:ind w:left="113" w:right="113"/>
              <w:jc w:val="center"/>
              <w:rPr>
                <w:sz w:val="18"/>
                <w:szCs w:val="18"/>
              </w:rPr>
            </w:pPr>
            <w:r>
              <w:rPr>
                <w:sz w:val="18"/>
                <w:szCs w:val="18"/>
              </w:rPr>
              <w:t>≥13</w:t>
            </w:r>
          </w:p>
        </w:tc>
        <w:tc>
          <w:tcPr>
            <w:tcW w:w="544" w:type="dxa"/>
            <w:textDirection w:val="btLr"/>
            <w:vAlign w:val="center"/>
          </w:tcPr>
          <w:p w14:paraId="126F3C77" w14:textId="77777777" w:rsidR="00A029DD" w:rsidRPr="00D21460" w:rsidRDefault="00A029DD" w:rsidP="009F0DC8">
            <w:pPr>
              <w:spacing w:after="160" w:line="259" w:lineRule="auto"/>
              <w:ind w:left="113" w:right="113"/>
              <w:jc w:val="center"/>
              <w:rPr>
                <w:sz w:val="18"/>
                <w:szCs w:val="18"/>
              </w:rPr>
            </w:pPr>
            <w:r>
              <w:rPr>
                <w:sz w:val="18"/>
                <w:szCs w:val="18"/>
              </w:rPr>
              <w:t>≥14</w:t>
            </w:r>
          </w:p>
        </w:tc>
        <w:tc>
          <w:tcPr>
            <w:tcW w:w="544" w:type="dxa"/>
            <w:textDirection w:val="btLr"/>
            <w:vAlign w:val="center"/>
          </w:tcPr>
          <w:p w14:paraId="506F52FB" w14:textId="77777777" w:rsidR="00A029DD" w:rsidRPr="00D21460" w:rsidRDefault="00A029DD" w:rsidP="009F0DC8">
            <w:pPr>
              <w:spacing w:after="160" w:line="259" w:lineRule="auto"/>
              <w:ind w:left="113" w:right="113"/>
              <w:jc w:val="center"/>
              <w:rPr>
                <w:sz w:val="18"/>
                <w:szCs w:val="18"/>
              </w:rPr>
            </w:pPr>
            <w:r>
              <w:rPr>
                <w:sz w:val="18"/>
                <w:szCs w:val="18"/>
              </w:rPr>
              <w:t>≥15</w:t>
            </w:r>
          </w:p>
        </w:tc>
        <w:tc>
          <w:tcPr>
            <w:tcW w:w="544" w:type="dxa"/>
            <w:textDirection w:val="btLr"/>
            <w:vAlign w:val="center"/>
          </w:tcPr>
          <w:p w14:paraId="59CF5866" w14:textId="77777777" w:rsidR="00A029DD" w:rsidRPr="00D21460" w:rsidRDefault="00A029DD" w:rsidP="009F0DC8">
            <w:pPr>
              <w:spacing w:after="160" w:line="259" w:lineRule="auto"/>
              <w:ind w:left="113" w:right="113"/>
              <w:jc w:val="center"/>
              <w:rPr>
                <w:sz w:val="18"/>
                <w:szCs w:val="18"/>
              </w:rPr>
            </w:pPr>
            <w:r>
              <w:rPr>
                <w:sz w:val="18"/>
                <w:szCs w:val="18"/>
              </w:rPr>
              <w:t>≥16</w:t>
            </w:r>
          </w:p>
        </w:tc>
        <w:tc>
          <w:tcPr>
            <w:tcW w:w="548" w:type="dxa"/>
            <w:gridSpan w:val="2"/>
            <w:textDirection w:val="btLr"/>
            <w:vAlign w:val="center"/>
          </w:tcPr>
          <w:p w14:paraId="027F2C82" w14:textId="77777777" w:rsidR="00A029DD" w:rsidRPr="00D21460" w:rsidRDefault="00A029DD" w:rsidP="009F0DC8">
            <w:pPr>
              <w:spacing w:after="160" w:line="259" w:lineRule="auto"/>
              <w:ind w:left="113" w:right="113"/>
              <w:jc w:val="center"/>
              <w:rPr>
                <w:sz w:val="18"/>
                <w:szCs w:val="18"/>
              </w:rPr>
            </w:pPr>
            <w:r>
              <w:rPr>
                <w:sz w:val="18"/>
                <w:szCs w:val="18"/>
              </w:rPr>
              <w:t>≥17</w:t>
            </w:r>
          </w:p>
        </w:tc>
      </w:tr>
      <w:bookmarkEnd w:id="0"/>
    </w:tbl>
    <w:p w14:paraId="66F9EFFB" w14:textId="77777777" w:rsidR="00A029DD" w:rsidRPr="00EA54AF" w:rsidRDefault="00A029DD" w:rsidP="00A029DD">
      <w:pPr>
        <w:spacing w:after="0" w:line="240" w:lineRule="auto"/>
        <w:jc w:val="both"/>
        <w:rPr>
          <w:rFonts w:ascii="Times New Roman" w:hAnsi="Times New Roman" w:cs="Times New Roman"/>
          <w:sz w:val="24"/>
          <w:szCs w:val="24"/>
        </w:rPr>
      </w:pPr>
    </w:p>
    <w:p w14:paraId="3CE67AE5" w14:textId="77777777" w:rsidR="00A029DD" w:rsidRDefault="00A029DD" w:rsidP="00A029DD"/>
    <w:sectPr w:rsidR="00A029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FC4"/>
    <w:multiLevelType w:val="multilevel"/>
    <w:tmpl w:val="CE4486D2"/>
    <w:lvl w:ilvl="0">
      <w:start w:val="3"/>
      <w:numFmt w:val="decimal"/>
      <w:lvlText w:val="%1."/>
      <w:lvlJc w:val="left"/>
      <w:pPr>
        <w:ind w:left="360" w:hanging="360"/>
      </w:pPr>
      <w:rPr>
        <w:rFonts w:hint="default"/>
        <w:sz w:val="24"/>
        <w:u w:val="single"/>
      </w:rPr>
    </w:lvl>
    <w:lvl w:ilvl="1">
      <w:start w:val="1"/>
      <w:numFmt w:val="decimal"/>
      <w:lvlText w:val="%1.%2."/>
      <w:lvlJc w:val="left"/>
      <w:pPr>
        <w:ind w:left="1440" w:hanging="720"/>
      </w:pPr>
      <w:rPr>
        <w:rFonts w:hint="default"/>
        <w:sz w:val="24"/>
        <w:u w:val="single"/>
      </w:rPr>
    </w:lvl>
    <w:lvl w:ilvl="2">
      <w:start w:val="1"/>
      <w:numFmt w:val="decimal"/>
      <w:lvlText w:val="%1.%2.%3."/>
      <w:lvlJc w:val="left"/>
      <w:pPr>
        <w:ind w:left="2160" w:hanging="720"/>
      </w:pPr>
      <w:rPr>
        <w:rFonts w:hint="default"/>
        <w:sz w:val="24"/>
        <w:u w:val="single"/>
      </w:rPr>
    </w:lvl>
    <w:lvl w:ilvl="3">
      <w:start w:val="1"/>
      <w:numFmt w:val="decimal"/>
      <w:lvlText w:val="%1.%2.%3.%4."/>
      <w:lvlJc w:val="left"/>
      <w:pPr>
        <w:ind w:left="3240" w:hanging="1080"/>
      </w:pPr>
      <w:rPr>
        <w:rFonts w:hint="default"/>
        <w:sz w:val="24"/>
        <w:u w:val="single"/>
      </w:rPr>
    </w:lvl>
    <w:lvl w:ilvl="4">
      <w:start w:val="1"/>
      <w:numFmt w:val="decimal"/>
      <w:lvlText w:val="%1.%2.%3.%4.%5."/>
      <w:lvlJc w:val="left"/>
      <w:pPr>
        <w:ind w:left="4320" w:hanging="1440"/>
      </w:pPr>
      <w:rPr>
        <w:rFonts w:hint="default"/>
        <w:sz w:val="24"/>
        <w:u w:val="single"/>
      </w:rPr>
    </w:lvl>
    <w:lvl w:ilvl="5">
      <w:start w:val="1"/>
      <w:numFmt w:val="decimal"/>
      <w:lvlText w:val="%1.%2.%3.%4.%5.%6."/>
      <w:lvlJc w:val="left"/>
      <w:pPr>
        <w:ind w:left="5040" w:hanging="1440"/>
      </w:pPr>
      <w:rPr>
        <w:rFonts w:hint="default"/>
        <w:sz w:val="24"/>
        <w:u w:val="single"/>
      </w:rPr>
    </w:lvl>
    <w:lvl w:ilvl="6">
      <w:start w:val="1"/>
      <w:numFmt w:val="decimal"/>
      <w:lvlText w:val="%1.%2.%3.%4.%5.%6.%7."/>
      <w:lvlJc w:val="left"/>
      <w:pPr>
        <w:ind w:left="6120" w:hanging="1800"/>
      </w:pPr>
      <w:rPr>
        <w:rFonts w:hint="default"/>
        <w:sz w:val="24"/>
        <w:u w:val="single"/>
      </w:rPr>
    </w:lvl>
    <w:lvl w:ilvl="7">
      <w:start w:val="1"/>
      <w:numFmt w:val="decimal"/>
      <w:lvlText w:val="%1.%2.%3.%4.%5.%6.%7.%8."/>
      <w:lvlJc w:val="left"/>
      <w:pPr>
        <w:ind w:left="7200" w:hanging="2160"/>
      </w:pPr>
      <w:rPr>
        <w:rFonts w:hint="default"/>
        <w:sz w:val="24"/>
        <w:u w:val="single"/>
      </w:rPr>
    </w:lvl>
    <w:lvl w:ilvl="8">
      <w:start w:val="1"/>
      <w:numFmt w:val="decimal"/>
      <w:lvlText w:val="%1.%2.%3.%4.%5.%6.%7.%8.%9."/>
      <w:lvlJc w:val="left"/>
      <w:pPr>
        <w:ind w:left="8280" w:hanging="2520"/>
      </w:pPr>
      <w:rPr>
        <w:rFonts w:hint="default"/>
        <w:sz w:val="24"/>
        <w:u w:val="single"/>
      </w:rPr>
    </w:lvl>
  </w:abstractNum>
  <w:abstractNum w:abstractNumId="1" w15:restartNumberingAfterBreak="0">
    <w:nsid w:val="71406CA5"/>
    <w:multiLevelType w:val="multilevel"/>
    <w:tmpl w:val="5DEA2C50"/>
    <w:lvl w:ilvl="0">
      <w:start w:val="1"/>
      <w:numFmt w:val="decimal"/>
      <w:lvlText w:val="%1."/>
      <w:lvlJc w:val="left"/>
      <w:pPr>
        <w:ind w:left="360" w:hanging="360"/>
      </w:pPr>
      <w:rPr>
        <w:rFonts w:hint="default"/>
        <w:sz w:val="24"/>
      </w:rPr>
    </w:lvl>
    <w:lvl w:ilvl="1">
      <w:start w:val="1"/>
      <w:numFmt w:val="decimal"/>
      <w:lvlText w:val="%2."/>
      <w:lvlJc w:val="left"/>
      <w:pPr>
        <w:ind w:left="720" w:hanging="360"/>
      </w:pPr>
    </w:lvl>
    <w:lvl w:ilvl="2">
      <w:start w:val="1"/>
      <w:numFmt w:val="decimal"/>
      <w:lvlText w:val="%1.%2.%3."/>
      <w:lvlJc w:val="left"/>
      <w:pPr>
        <w:ind w:left="1224" w:hanging="504"/>
      </w:pPr>
      <w:rPr>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num w:numId="1" w16cid:durableId="494415395">
    <w:abstractNumId w:val="1"/>
  </w:num>
  <w:num w:numId="2" w16cid:durableId="1579553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DD"/>
    <w:rsid w:val="000F547D"/>
    <w:rsid w:val="00660886"/>
    <w:rsid w:val="006E6E28"/>
    <w:rsid w:val="009C482A"/>
    <w:rsid w:val="00A029DD"/>
    <w:rsid w:val="00BD60FB"/>
    <w:rsid w:val="00C56A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6ED9"/>
  <w15:chartTrackingRefBased/>
  <w15:docId w15:val="{F24B45E1-D984-498B-8917-3DA0B5A9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List Paragraph1,Saistīto dokumentu saraksts,Syle 1,Numurets,H&amp;P List Paragraph,Strip,Virsraksti,PPS_Bullet,Numbered Para 1,Dot pt,No Spacing1,List Paragraph Char Char Char,Indicator Text,Bullet Points,MAIN CONTENT,Akapit z listą BS"/>
    <w:basedOn w:val="Normal"/>
    <w:link w:val="ListParagraphChar"/>
    <w:uiPriority w:val="34"/>
    <w:qFormat/>
    <w:rsid w:val="00A029DD"/>
    <w:pPr>
      <w:ind w:left="720"/>
      <w:contextualSpacing/>
    </w:pPr>
  </w:style>
  <w:style w:type="character" w:customStyle="1" w:styleId="ListParagraphChar">
    <w:name w:val="List Paragraph Char"/>
    <w:aliases w:val="2 Char,List Paragraph1 Char,Saistīto dokumentu saraksts Char,Syle 1 Char,Numurets Char,H&amp;P List Paragraph Char,Strip Char,Virsraksti Char,PPS_Bullet Char,Numbered Para 1 Char,Dot pt Char,No Spacing1 Char,Indicator Text Char"/>
    <w:link w:val="ListParagraph"/>
    <w:uiPriority w:val="34"/>
    <w:qFormat/>
    <w:rsid w:val="00A029DD"/>
  </w:style>
  <w:style w:type="table" w:styleId="TableGrid">
    <w:name w:val="Table Grid"/>
    <w:basedOn w:val="TableNormal"/>
    <w:uiPriority w:val="39"/>
    <w:rsid w:val="00A029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1835</Words>
  <Characters>1046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Voropajeva</dc:creator>
  <cp:keywords/>
  <dc:description/>
  <cp:lastModifiedBy>Jūlija Voropajeva</cp:lastModifiedBy>
  <cp:revision>2</cp:revision>
  <dcterms:created xsi:type="dcterms:W3CDTF">2023-11-24T10:02:00Z</dcterms:created>
  <dcterms:modified xsi:type="dcterms:W3CDTF">2023-11-24T10:02:00Z</dcterms:modified>
</cp:coreProperties>
</file>