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72A55" w14:textId="77777777" w:rsidR="00C33FD9" w:rsidRPr="006B7669" w:rsidRDefault="007B30B1" w:rsidP="004E0F9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669">
        <w:rPr>
          <w:rFonts w:ascii="Times New Roman" w:hAnsi="Times New Roman" w:cs="Times New Roman"/>
          <w:b/>
          <w:sz w:val="24"/>
          <w:szCs w:val="24"/>
        </w:rPr>
        <w:t>Mamogrāfijas</w:t>
      </w:r>
      <w:proofErr w:type="spellEnd"/>
      <w:r w:rsidRPr="006B7669">
        <w:rPr>
          <w:rFonts w:ascii="Times New Roman" w:hAnsi="Times New Roman" w:cs="Times New Roman"/>
          <w:b/>
          <w:sz w:val="24"/>
          <w:szCs w:val="24"/>
        </w:rPr>
        <w:t xml:space="preserve"> pakalpojumu </w:t>
      </w:r>
      <w:r w:rsidR="000B4761" w:rsidRPr="006B7669">
        <w:rPr>
          <w:rFonts w:ascii="Times New Roman" w:hAnsi="Times New Roman" w:cs="Times New Roman"/>
          <w:b/>
          <w:sz w:val="24"/>
          <w:szCs w:val="24"/>
        </w:rPr>
        <w:t>sniedzēju atlases</w:t>
      </w:r>
      <w:r w:rsidRPr="006B7669">
        <w:rPr>
          <w:rFonts w:ascii="Times New Roman" w:hAnsi="Times New Roman" w:cs="Times New Roman"/>
          <w:b/>
          <w:sz w:val="24"/>
          <w:szCs w:val="24"/>
        </w:rPr>
        <w:t xml:space="preserve"> nosacījumi</w:t>
      </w:r>
    </w:p>
    <w:p w14:paraId="608FBA72" w14:textId="77777777" w:rsidR="000B4761" w:rsidRPr="006B7669" w:rsidRDefault="000B4761" w:rsidP="000B4761">
      <w:pPr>
        <w:rPr>
          <w:rFonts w:ascii="Times New Roman" w:hAnsi="Times New Roman" w:cs="Times New Roman"/>
          <w:b/>
          <w:sz w:val="24"/>
          <w:szCs w:val="24"/>
        </w:rPr>
      </w:pPr>
    </w:p>
    <w:p w14:paraId="04F090C4" w14:textId="4D882870" w:rsidR="000B4761" w:rsidRDefault="000B4761" w:rsidP="00B150CF">
      <w:p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Lai veicinātu efektīvāku un uz rezultātu orientētu veselības aprūpes pakalpojumu sniegšanu,</w:t>
      </w:r>
      <w:r w:rsidRPr="006B7669" w:rsidDel="00DF2BE6">
        <w:rPr>
          <w:rFonts w:ascii="Times New Roman" w:hAnsi="Times New Roman" w:cs="Times New Roman"/>
          <w:sz w:val="24"/>
          <w:szCs w:val="24"/>
        </w:rPr>
        <w:t xml:space="preserve"> </w:t>
      </w:r>
      <w:r w:rsidRPr="006B7669">
        <w:rPr>
          <w:rFonts w:ascii="Times New Roman" w:hAnsi="Times New Roman" w:cs="Times New Roman"/>
          <w:sz w:val="24"/>
          <w:szCs w:val="24"/>
        </w:rPr>
        <w:t xml:space="preserve">Nacionālais veselības dienests (turpmāk – NVD) 2017.gadā veiks jaunu pakalpojumu sniedzēju atlasi ar šādiem nosacījumiem: </w:t>
      </w:r>
    </w:p>
    <w:p w14:paraId="7B8426C7" w14:textId="77777777" w:rsidR="004810E5" w:rsidRPr="006B7669" w:rsidRDefault="004810E5" w:rsidP="00B1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E7184" w14:textId="77777777" w:rsidR="003164C4" w:rsidRPr="006B7669" w:rsidRDefault="000B4761" w:rsidP="00B150C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b/>
          <w:sz w:val="24"/>
          <w:szCs w:val="24"/>
        </w:rPr>
        <w:t>P</w:t>
      </w:r>
      <w:r w:rsidR="00DF7BB1" w:rsidRPr="006B7669">
        <w:rPr>
          <w:rFonts w:ascii="Times New Roman" w:hAnsi="Times New Roman" w:cs="Times New Roman"/>
          <w:b/>
          <w:sz w:val="24"/>
          <w:szCs w:val="24"/>
        </w:rPr>
        <w:t>akalpojuma nosaukums</w:t>
      </w:r>
      <w:r w:rsidR="006C2621" w:rsidRPr="006B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4C4" w:rsidRPr="006B7669">
        <w:rPr>
          <w:rFonts w:ascii="Times New Roman" w:hAnsi="Times New Roman" w:cs="Times New Roman"/>
          <w:b/>
          <w:sz w:val="24"/>
          <w:szCs w:val="24"/>
        </w:rPr>
        <w:t>–</w:t>
      </w:r>
      <w:r w:rsidR="00DF7BB1" w:rsidRPr="006B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669">
        <w:rPr>
          <w:rFonts w:ascii="Times New Roman" w:hAnsi="Times New Roman" w:cs="Times New Roman"/>
          <w:b/>
          <w:sz w:val="24"/>
          <w:szCs w:val="24"/>
        </w:rPr>
        <w:t xml:space="preserve">ambulatorā </w:t>
      </w:r>
      <w:proofErr w:type="spellStart"/>
      <w:r w:rsidRPr="006B7669">
        <w:rPr>
          <w:rFonts w:ascii="Times New Roman" w:hAnsi="Times New Roman" w:cs="Times New Roman"/>
          <w:b/>
          <w:sz w:val="24"/>
          <w:szCs w:val="24"/>
        </w:rPr>
        <w:t>m</w:t>
      </w:r>
      <w:r w:rsidR="00DF7BB1" w:rsidRPr="006B7669">
        <w:rPr>
          <w:rFonts w:ascii="Times New Roman" w:hAnsi="Times New Roman" w:cs="Times New Roman"/>
          <w:b/>
          <w:sz w:val="24"/>
          <w:szCs w:val="24"/>
        </w:rPr>
        <w:t>amogrāfij</w:t>
      </w:r>
      <w:r w:rsidR="003164C4" w:rsidRPr="006B766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3164C4" w:rsidRPr="006B766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164C4" w:rsidRPr="006B7669">
        <w:rPr>
          <w:rFonts w:ascii="Times New Roman" w:hAnsi="Times New Roman" w:cs="Times New Roman"/>
          <w:sz w:val="24"/>
          <w:szCs w:val="24"/>
        </w:rPr>
        <w:t>Mammogrāfijas</w:t>
      </w:r>
      <w:proofErr w:type="spellEnd"/>
      <w:r w:rsidR="003164C4"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="00E673BC" w:rsidRPr="006B7669">
        <w:rPr>
          <w:rFonts w:ascii="Times New Roman" w:hAnsi="Times New Roman" w:cs="Times New Roman"/>
          <w:sz w:val="24"/>
          <w:szCs w:val="24"/>
        </w:rPr>
        <w:t>pakalpojumu iedalījums:</w:t>
      </w:r>
    </w:p>
    <w:p w14:paraId="2585A547" w14:textId="77777777" w:rsidR="003164C4" w:rsidRPr="006B7669" w:rsidRDefault="00756888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krūts vēža </w:t>
      </w:r>
      <w:proofErr w:type="spellStart"/>
      <w:r w:rsidR="006C2621" w:rsidRPr="006B7669">
        <w:rPr>
          <w:rFonts w:ascii="Times New Roman" w:hAnsi="Times New Roman" w:cs="Times New Roman"/>
          <w:sz w:val="24"/>
          <w:szCs w:val="24"/>
        </w:rPr>
        <w:t>skrīninga</w:t>
      </w:r>
      <w:proofErr w:type="spellEnd"/>
      <w:r w:rsidR="006C2621"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="00E673BC" w:rsidRPr="006B7669">
        <w:rPr>
          <w:rFonts w:ascii="Times New Roman" w:hAnsi="Times New Roman" w:cs="Times New Roman"/>
          <w:sz w:val="24"/>
          <w:szCs w:val="24"/>
        </w:rPr>
        <w:t>izmeklējumi;</w:t>
      </w:r>
    </w:p>
    <w:p w14:paraId="132263D8" w14:textId="473642A3" w:rsidR="003164C4" w:rsidRPr="006B7669" w:rsidRDefault="00DF7BB1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diagnostiskās </w:t>
      </w:r>
      <w:proofErr w:type="spellStart"/>
      <w:r w:rsidRPr="006B7669">
        <w:rPr>
          <w:rFonts w:ascii="Times New Roman" w:hAnsi="Times New Roman" w:cs="Times New Roman"/>
          <w:sz w:val="24"/>
          <w:szCs w:val="24"/>
        </w:rPr>
        <w:t>mamogrāfijas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="00E673BC" w:rsidRPr="006B7669">
        <w:rPr>
          <w:rFonts w:ascii="Times New Roman" w:hAnsi="Times New Roman" w:cs="Times New Roman"/>
          <w:sz w:val="24"/>
          <w:szCs w:val="24"/>
        </w:rPr>
        <w:t>izmeklējumi</w:t>
      </w:r>
      <w:bookmarkStart w:id="0" w:name="_GoBack"/>
      <w:bookmarkEnd w:id="0"/>
      <w:r w:rsidR="006C2621" w:rsidRPr="006B7669">
        <w:rPr>
          <w:rFonts w:ascii="Times New Roman" w:hAnsi="Times New Roman" w:cs="Times New Roman"/>
          <w:sz w:val="24"/>
          <w:szCs w:val="24"/>
        </w:rPr>
        <w:t>;</w:t>
      </w:r>
    </w:p>
    <w:p w14:paraId="295D2126" w14:textId="77777777" w:rsidR="00020955" w:rsidRPr="006B7669" w:rsidRDefault="006C2621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mobilā</w:t>
      </w:r>
      <w:r w:rsidR="00DF7BB1" w:rsidRPr="006B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BB1" w:rsidRPr="006B7669">
        <w:rPr>
          <w:rFonts w:ascii="Times New Roman" w:hAnsi="Times New Roman" w:cs="Times New Roman"/>
          <w:sz w:val="24"/>
          <w:szCs w:val="24"/>
        </w:rPr>
        <w:t>mamogrāfa</w:t>
      </w:r>
      <w:proofErr w:type="spellEnd"/>
      <w:r w:rsidR="00DF7BB1" w:rsidRPr="006B7669">
        <w:rPr>
          <w:rFonts w:ascii="Times New Roman" w:hAnsi="Times New Roman" w:cs="Times New Roman"/>
          <w:sz w:val="24"/>
          <w:szCs w:val="24"/>
        </w:rPr>
        <w:t xml:space="preserve"> kabinetu</w:t>
      </w:r>
      <w:r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="00E673BC" w:rsidRPr="006B7669">
        <w:rPr>
          <w:rFonts w:ascii="Times New Roman" w:hAnsi="Times New Roman" w:cs="Times New Roman"/>
          <w:sz w:val="24"/>
          <w:szCs w:val="24"/>
        </w:rPr>
        <w:t xml:space="preserve">krūts vēža </w:t>
      </w:r>
      <w:proofErr w:type="spellStart"/>
      <w:r w:rsidR="00E673BC" w:rsidRPr="006B7669">
        <w:rPr>
          <w:rFonts w:ascii="Times New Roman" w:hAnsi="Times New Roman" w:cs="Times New Roman"/>
          <w:sz w:val="24"/>
          <w:szCs w:val="24"/>
        </w:rPr>
        <w:t>skrīninga</w:t>
      </w:r>
      <w:proofErr w:type="spellEnd"/>
      <w:r w:rsidR="00E673BC" w:rsidRPr="006B7669">
        <w:rPr>
          <w:rFonts w:ascii="Times New Roman" w:hAnsi="Times New Roman" w:cs="Times New Roman"/>
          <w:sz w:val="24"/>
          <w:szCs w:val="24"/>
        </w:rPr>
        <w:t xml:space="preserve"> izmeklējumi</w:t>
      </w:r>
      <w:r w:rsidRPr="006B7669">
        <w:rPr>
          <w:rFonts w:ascii="Times New Roman" w:hAnsi="Times New Roman" w:cs="Times New Roman"/>
          <w:sz w:val="24"/>
          <w:szCs w:val="24"/>
        </w:rPr>
        <w:t>.</w:t>
      </w:r>
    </w:p>
    <w:p w14:paraId="74CD73D0" w14:textId="77777777" w:rsidR="006C2621" w:rsidRPr="006B7669" w:rsidRDefault="006C2621" w:rsidP="006C2621">
      <w:pPr>
        <w:pStyle w:val="ListParagraph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0D792" w14:textId="77777777" w:rsidR="004E0F90" w:rsidRPr="006B7669" w:rsidRDefault="006C2621" w:rsidP="00DF7B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b/>
          <w:sz w:val="24"/>
          <w:szCs w:val="24"/>
        </w:rPr>
        <w:t>Pakalpojuma sniegšanas vieta:</w:t>
      </w:r>
    </w:p>
    <w:p w14:paraId="34BAA9D2" w14:textId="77777777" w:rsidR="008268FB" w:rsidRPr="00EB24F6" w:rsidRDefault="008268FB" w:rsidP="00DF7BB1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 xml:space="preserve">Pakalpojumu sniegšanas vietas stacionāriem </w:t>
      </w:r>
      <w:proofErr w:type="spellStart"/>
      <w:r w:rsidRPr="00EB24F6">
        <w:rPr>
          <w:rFonts w:ascii="Times New Roman" w:hAnsi="Times New Roman" w:cs="Times New Roman"/>
          <w:sz w:val="24"/>
          <w:szCs w:val="24"/>
        </w:rPr>
        <w:t>mamogrāfiem</w:t>
      </w:r>
      <w:proofErr w:type="spellEnd"/>
      <w:r w:rsidRPr="00EB24F6">
        <w:rPr>
          <w:rFonts w:ascii="Times New Roman" w:hAnsi="Times New Roman" w:cs="Times New Roman"/>
          <w:sz w:val="24"/>
          <w:szCs w:val="24"/>
        </w:rPr>
        <w:t xml:space="preserve">: Rīga, Tukums, Talsi, Ventspils, Kuldīga, Liepāja, Saldus, Jelgava, Bauska, Jūrmala, Aizkraukle, Cēsis, Limbaži, Valmiera, Alūksne, Madona, Rēzekne, Ludza, Daugavpils, </w:t>
      </w:r>
      <w:r w:rsidR="006C2621" w:rsidRPr="00EB24F6">
        <w:rPr>
          <w:rFonts w:ascii="Times New Roman" w:hAnsi="Times New Roman" w:cs="Times New Roman"/>
          <w:sz w:val="24"/>
          <w:szCs w:val="24"/>
        </w:rPr>
        <w:t>Jēkabpils, Ogre, Sigulda, Balvi, Dobele.</w:t>
      </w:r>
    </w:p>
    <w:p w14:paraId="7811B673" w14:textId="77777777" w:rsidR="008268FB" w:rsidRPr="006B7669" w:rsidRDefault="00DF7BB1" w:rsidP="00DF7BB1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 xml:space="preserve">Mobilā </w:t>
      </w:r>
      <w:proofErr w:type="spellStart"/>
      <w:r w:rsidR="00E673BC" w:rsidRPr="00EB24F6">
        <w:rPr>
          <w:rFonts w:ascii="Times New Roman" w:hAnsi="Times New Roman" w:cs="Times New Roman"/>
          <w:sz w:val="24"/>
          <w:szCs w:val="24"/>
        </w:rPr>
        <w:t>ma</w:t>
      </w:r>
      <w:r w:rsidR="006C2621" w:rsidRPr="00EB24F6">
        <w:rPr>
          <w:rFonts w:ascii="Times New Roman" w:hAnsi="Times New Roman" w:cs="Times New Roman"/>
          <w:sz w:val="24"/>
          <w:szCs w:val="24"/>
        </w:rPr>
        <w:t>mogrāfa</w:t>
      </w:r>
      <w:proofErr w:type="spellEnd"/>
      <w:r w:rsidR="006C2621" w:rsidRPr="00EB24F6">
        <w:rPr>
          <w:rFonts w:ascii="Times New Roman" w:hAnsi="Times New Roman" w:cs="Times New Roman"/>
          <w:sz w:val="24"/>
          <w:szCs w:val="24"/>
        </w:rPr>
        <w:t xml:space="preserve"> kabinetu</w:t>
      </w:r>
      <w:r w:rsidRPr="00EB24F6">
        <w:rPr>
          <w:rFonts w:ascii="Times New Roman" w:hAnsi="Times New Roman" w:cs="Times New Roman"/>
          <w:sz w:val="24"/>
          <w:szCs w:val="24"/>
        </w:rPr>
        <w:t xml:space="preserve"> pak</w:t>
      </w:r>
      <w:r w:rsidR="00E673BC" w:rsidRPr="00EB24F6">
        <w:rPr>
          <w:rFonts w:ascii="Times New Roman" w:hAnsi="Times New Roman" w:cs="Times New Roman"/>
          <w:sz w:val="24"/>
          <w:szCs w:val="24"/>
        </w:rPr>
        <w:t>a</w:t>
      </w:r>
      <w:r w:rsidR="003164C4" w:rsidRPr="00EB24F6">
        <w:rPr>
          <w:rFonts w:ascii="Times New Roman" w:hAnsi="Times New Roman" w:cs="Times New Roman"/>
          <w:sz w:val="24"/>
          <w:szCs w:val="24"/>
        </w:rPr>
        <w:t xml:space="preserve">lpojumu sniedz visā Latvijas teritorijā, </w:t>
      </w:r>
      <w:r w:rsidR="006C2621" w:rsidRPr="00EB24F6">
        <w:rPr>
          <w:rFonts w:ascii="Times New Roman" w:hAnsi="Times New Roman" w:cs="Times New Roman"/>
          <w:sz w:val="24"/>
          <w:szCs w:val="24"/>
        </w:rPr>
        <w:t>ja pakal</w:t>
      </w:r>
      <w:r w:rsidR="002B29FA" w:rsidRPr="00EB24F6">
        <w:rPr>
          <w:rFonts w:ascii="Times New Roman" w:hAnsi="Times New Roman" w:cs="Times New Roman"/>
          <w:sz w:val="24"/>
          <w:szCs w:val="24"/>
        </w:rPr>
        <w:t>pojuma sniegšanas vieta neatrodas tuvāk par</w:t>
      </w:r>
      <w:r w:rsidR="002B29FA"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="006C2621" w:rsidRPr="006B7669">
        <w:rPr>
          <w:rFonts w:ascii="Times New Roman" w:hAnsi="Times New Roman" w:cs="Times New Roman"/>
          <w:sz w:val="24"/>
          <w:szCs w:val="24"/>
        </w:rPr>
        <w:t xml:space="preserve">30 km no </w:t>
      </w:r>
      <w:r w:rsidR="002B29FA" w:rsidRPr="006B7669">
        <w:rPr>
          <w:rFonts w:ascii="Times New Roman" w:hAnsi="Times New Roman" w:cs="Times New Roman"/>
          <w:sz w:val="24"/>
          <w:szCs w:val="24"/>
        </w:rPr>
        <w:t xml:space="preserve">Rīgas pilsētas robežai vai tuvāk </w:t>
      </w:r>
      <w:r w:rsidR="003164C4" w:rsidRPr="006B7669">
        <w:rPr>
          <w:rFonts w:ascii="Times New Roman" w:hAnsi="Times New Roman" w:cs="Times New Roman"/>
          <w:sz w:val="24"/>
          <w:szCs w:val="24"/>
        </w:rPr>
        <w:t xml:space="preserve">par 15 km  </w:t>
      </w:r>
      <w:r w:rsidR="002B29FA" w:rsidRPr="006B7669">
        <w:rPr>
          <w:rFonts w:ascii="Times New Roman" w:hAnsi="Times New Roman" w:cs="Times New Roman"/>
          <w:sz w:val="24"/>
          <w:szCs w:val="24"/>
        </w:rPr>
        <w:t xml:space="preserve">no </w:t>
      </w:r>
      <w:r w:rsidR="003164C4" w:rsidRPr="006B7669">
        <w:rPr>
          <w:rFonts w:ascii="Times New Roman" w:hAnsi="Times New Roman" w:cs="Times New Roman"/>
          <w:sz w:val="24"/>
          <w:szCs w:val="24"/>
        </w:rPr>
        <w:t xml:space="preserve">pilsētas robežas, kur izvietots   stacionārs </w:t>
      </w:r>
      <w:proofErr w:type="spellStart"/>
      <w:r w:rsidR="003164C4" w:rsidRPr="006B7669">
        <w:rPr>
          <w:rFonts w:ascii="Times New Roman" w:hAnsi="Times New Roman" w:cs="Times New Roman"/>
          <w:sz w:val="24"/>
          <w:szCs w:val="24"/>
        </w:rPr>
        <w:t>mamogrāfs</w:t>
      </w:r>
      <w:proofErr w:type="spellEnd"/>
      <w:r w:rsidR="003164C4" w:rsidRPr="006B7669">
        <w:rPr>
          <w:rFonts w:ascii="Times New Roman" w:hAnsi="Times New Roman" w:cs="Times New Roman"/>
          <w:sz w:val="24"/>
          <w:szCs w:val="24"/>
        </w:rPr>
        <w:t>.</w:t>
      </w:r>
    </w:p>
    <w:p w14:paraId="5A915FD3" w14:textId="77777777" w:rsidR="00020955" w:rsidRPr="006B7669" w:rsidRDefault="00020955" w:rsidP="008323F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5F9D9" w14:textId="77777777" w:rsidR="004E0F90" w:rsidRPr="006B7669" w:rsidRDefault="00E673BC" w:rsidP="00DF7B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b/>
          <w:sz w:val="24"/>
          <w:szCs w:val="24"/>
        </w:rPr>
        <w:t>Prasības p</w:t>
      </w:r>
      <w:r w:rsidR="004E0F90" w:rsidRPr="006B7669">
        <w:rPr>
          <w:rFonts w:ascii="Times New Roman" w:hAnsi="Times New Roman" w:cs="Times New Roman"/>
          <w:b/>
          <w:sz w:val="24"/>
          <w:szCs w:val="24"/>
        </w:rPr>
        <w:t>akalpo</w:t>
      </w:r>
      <w:r w:rsidRPr="006B7669">
        <w:rPr>
          <w:rFonts w:ascii="Times New Roman" w:hAnsi="Times New Roman" w:cs="Times New Roman"/>
          <w:b/>
          <w:sz w:val="24"/>
          <w:szCs w:val="24"/>
        </w:rPr>
        <w:t>juma sniedzējam:</w:t>
      </w:r>
    </w:p>
    <w:p w14:paraId="641EA54A" w14:textId="77777777" w:rsidR="006C2621" w:rsidRPr="00EB24F6" w:rsidRDefault="006C2621" w:rsidP="00E673BC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>Ārstniecības iestāde atbilst normatīvaj</w:t>
      </w:r>
      <w:r w:rsidR="000B4761" w:rsidRPr="00EB24F6">
        <w:rPr>
          <w:rFonts w:ascii="Times New Roman" w:hAnsi="Times New Roman" w:cs="Times New Roman"/>
          <w:sz w:val="24"/>
          <w:szCs w:val="24"/>
        </w:rPr>
        <w:t>os</w:t>
      </w:r>
      <w:r w:rsidRPr="00EB24F6">
        <w:rPr>
          <w:rFonts w:ascii="Times New Roman" w:hAnsi="Times New Roman" w:cs="Times New Roman"/>
          <w:sz w:val="24"/>
          <w:szCs w:val="24"/>
        </w:rPr>
        <w:t xml:space="preserve"> akt</w:t>
      </w:r>
      <w:r w:rsidR="000B4761" w:rsidRPr="00EB24F6">
        <w:rPr>
          <w:rFonts w:ascii="Times New Roman" w:hAnsi="Times New Roman" w:cs="Times New Roman"/>
          <w:sz w:val="24"/>
          <w:szCs w:val="24"/>
        </w:rPr>
        <w:t>os noteiktajām prasībām, tajā skaitā</w:t>
      </w:r>
      <w:r w:rsidRPr="00EB24F6">
        <w:rPr>
          <w:rFonts w:ascii="Times New Roman" w:hAnsi="Times New Roman" w:cs="Times New Roman"/>
          <w:sz w:val="24"/>
          <w:szCs w:val="24"/>
        </w:rPr>
        <w:t>:</w:t>
      </w:r>
    </w:p>
    <w:p w14:paraId="06B7EF36" w14:textId="77777777" w:rsidR="001B53D6" w:rsidRPr="00EB24F6" w:rsidRDefault="00E673BC" w:rsidP="006C2621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>Ārstniecības iestāde atbilst</w:t>
      </w:r>
      <w:r w:rsidR="004E0F90" w:rsidRPr="00EB24F6">
        <w:rPr>
          <w:rFonts w:ascii="Times New Roman" w:hAnsi="Times New Roman" w:cs="Times New Roman"/>
          <w:sz w:val="24"/>
          <w:szCs w:val="24"/>
        </w:rPr>
        <w:t xml:space="preserve"> </w:t>
      </w:r>
      <w:r w:rsidR="00B35DA2" w:rsidRPr="00EB24F6">
        <w:rPr>
          <w:rFonts w:ascii="Times New Roman" w:hAnsi="Times New Roman" w:cs="Times New Roman"/>
          <w:sz w:val="24"/>
          <w:szCs w:val="24"/>
        </w:rPr>
        <w:t>Ministru kabineta 2009.gada 20.janvāra noteikumiem Nr.60 “Noteikumi par obligātajām prasībām ārstniecības iestādēm un to struktūrvienībām”</w:t>
      </w:r>
      <w:r w:rsidR="006C2621" w:rsidRPr="00EB24F6">
        <w:rPr>
          <w:rFonts w:ascii="Times New Roman" w:hAnsi="Times New Roman" w:cs="Times New Roman"/>
          <w:sz w:val="24"/>
          <w:szCs w:val="24"/>
        </w:rPr>
        <w:t>;</w:t>
      </w:r>
    </w:p>
    <w:p w14:paraId="5960B099" w14:textId="77777777" w:rsidR="004E0F90" w:rsidRPr="00EB24F6" w:rsidRDefault="001B53D6" w:rsidP="006C2621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>Ā</w:t>
      </w:r>
      <w:r w:rsidR="00E673BC" w:rsidRPr="00EB24F6">
        <w:rPr>
          <w:rFonts w:ascii="Times New Roman" w:hAnsi="Times New Roman" w:cs="Times New Roman"/>
          <w:sz w:val="24"/>
          <w:szCs w:val="24"/>
        </w:rPr>
        <w:t>rstniecības iestāde nodrošina</w:t>
      </w:r>
      <w:r w:rsidR="00E673BC" w:rsidRPr="00EB24F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Ministru kabineta </w:t>
      </w:r>
      <w:r w:rsidR="006C2621" w:rsidRPr="00EB24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2014.gada 19.augusta </w:t>
      </w:r>
      <w:r w:rsidR="006C2621" w:rsidRPr="00EB24F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noteikumu </w:t>
      </w:r>
      <w:r w:rsidR="00E673BC" w:rsidRPr="00EB24F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Nr.482</w:t>
      </w:r>
      <w:r w:rsidR="006C2621" w:rsidRPr="00EB24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E673BC" w:rsidRPr="00EB24F6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 par aizsardzību pret jonizējošo starojumu medicīniskajā apstarošanā</w:t>
      </w:r>
      <w:r w:rsidR="006C2621" w:rsidRPr="00EB24F6">
        <w:rPr>
          <w:rFonts w:ascii="Times New Roman" w:eastAsia="Times New Roman" w:hAnsi="Times New Roman" w:cs="Times New Roman"/>
          <w:sz w:val="24"/>
          <w:szCs w:val="24"/>
          <w:lang w:eastAsia="lv-LV"/>
        </w:rPr>
        <w:t>” prasības;</w:t>
      </w:r>
    </w:p>
    <w:p w14:paraId="6D63D072" w14:textId="77777777" w:rsidR="004E0F90" w:rsidRPr="006B7669" w:rsidRDefault="004E0F90" w:rsidP="00DF7BB1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>Iekārtu un aprīkojuma tehniskās prasības</w:t>
      </w:r>
      <w:r w:rsidR="006C2621" w:rsidRPr="00EB24F6">
        <w:rPr>
          <w:rFonts w:ascii="Times New Roman" w:hAnsi="Times New Roman" w:cs="Times New Roman"/>
          <w:sz w:val="24"/>
          <w:szCs w:val="24"/>
        </w:rPr>
        <w:t>:</w:t>
      </w:r>
    </w:p>
    <w:p w14:paraId="294090B7" w14:textId="77777777" w:rsidR="009A7E3B" w:rsidRPr="006B7669" w:rsidRDefault="009A7E3B" w:rsidP="00DF7BB1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669">
        <w:rPr>
          <w:rFonts w:ascii="Times New Roman" w:hAnsi="Times New Roman" w:cs="Times New Roman"/>
          <w:sz w:val="24"/>
          <w:szCs w:val="24"/>
        </w:rPr>
        <w:t>Mamogrāfu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iekārtu tehniskās prasības: </w:t>
      </w:r>
    </w:p>
    <w:p w14:paraId="2CFC7427" w14:textId="77777777" w:rsidR="009A7E3B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m</w:t>
      </w:r>
      <w:r w:rsidR="009A7E3B" w:rsidRPr="006B7669">
        <w:rPr>
          <w:rFonts w:ascii="Times New Roman" w:hAnsi="Times New Roman" w:cs="Times New Roman"/>
          <w:sz w:val="24"/>
          <w:szCs w:val="24"/>
        </w:rPr>
        <w:t>ērķa optiskais blīvums 1,4–1,9 OD;</w:t>
      </w:r>
    </w:p>
    <w:p w14:paraId="6C00D46E" w14:textId="77777777" w:rsidR="009A7E3B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d</w:t>
      </w:r>
      <w:r w:rsidR="009A7E3B" w:rsidRPr="006B7669">
        <w:rPr>
          <w:rFonts w:ascii="Times New Roman" w:hAnsi="Times New Roman" w:cs="Times New Roman"/>
          <w:sz w:val="24"/>
          <w:szCs w:val="24"/>
        </w:rPr>
        <w:t xml:space="preserve">ziedzera starojuma deva pie biezuma 4,5 cm nepārsniedz 2,5 </w:t>
      </w:r>
      <w:proofErr w:type="spellStart"/>
      <w:r w:rsidR="009A7E3B" w:rsidRPr="006B7669">
        <w:rPr>
          <w:rFonts w:ascii="Times New Roman" w:hAnsi="Times New Roman" w:cs="Times New Roman"/>
          <w:sz w:val="24"/>
          <w:szCs w:val="24"/>
        </w:rPr>
        <w:t>mGy</w:t>
      </w:r>
      <w:proofErr w:type="spellEnd"/>
      <w:r w:rsidR="009A7E3B" w:rsidRPr="006B7669">
        <w:rPr>
          <w:rFonts w:ascii="Times New Roman" w:hAnsi="Times New Roman" w:cs="Times New Roman"/>
          <w:sz w:val="24"/>
          <w:szCs w:val="24"/>
        </w:rPr>
        <w:t>;</w:t>
      </w:r>
    </w:p>
    <w:p w14:paraId="76E27F1C" w14:textId="77777777" w:rsidR="009A7E3B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a</w:t>
      </w:r>
      <w:r w:rsidR="009A7E3B" w:rsidRPr="006B7669">
        <w:rPr>
          <w:rFonts w:ascii="Times New Roman" w:hAnsi="Times New Roman" w:cs="Times New Roman"/>
          <w:sz w:val="24"/>
          <w:szCs w:val="24"/>
        </w:rPr>
        <w:t>prīkojums uzņēmuma veikšanai ar kompresiju un palielinājumu;</w:t>
      </w:r>
    </w:p>
    <w:p w14:paraId="6A335ED0" w14:textId="77777777" w:rsidR="009A7E3B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d</w:t>
      </w:r>
      <w:r w:rsidR="009A7E3B" w:rsidRPr="006B7669">
        <w:rPr>
          <w:rFonts w:ascii="Times New Roman" w:hAnsi="Times New Roman" w:cs="Times New Roman"/>
          <w:sz w:val="24"/>
          <w:szCs w:val="24"/>
        </w:rPr>
        <w:t>etektora vai plašu sistēmas izšķirtspēja ne mazāka kā 20 pikseļi uz 1 mm vai punkta izmērs mazāks par 50 mikroniem.</w:t>
      </w:r>
    </w:p>
    <w:p w14:paraId="4FC94553" w14:textId="77777777" w:rsidR="00B15F39" w:rsidRPr="006B7669" w:rsidRDefault="00B15F39" w:rsidP="00DF7BB1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Aprīkojuma prasības:</w:t>
      </w:r>
    </w:p>
    <w:p w14:paraId="77757357" w14:textId="77777777" w:rsidR="00B15F39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monitors ar izšķirtspēju ne mazāku kā 5 megapikseļi;</w:t>
      </w:r>
    </w:p>
    <w:p w14:paraId="6FD6C9E9" w14:textId="77777777" w:rsidR="00B15F39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monitora ekrāna izmērs ne mazāks par 19 collām pa diagonāli;</w:t>
      </w:r>
    </w:p>
    <w:p w14:paraId="1E0CF2D9" w14:textId="77777777" w:rsidR="00B15F39" w:rsidRPr="006B7669" w:rsidRDefault="00D4263C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669">
        <w:rPr>
          <w:rFonts w:ascii="Times New Roman" w:hAnsi="Times New Roman" w:cs="Times New Roman"/>
          <w:sz w:val="24"/>
          <w:szCs w:val="24"/>
        </w:rPr>
        <w:t>mamogram</w:t>
      </w:r>
      <w:r w:rsidR="00B15F39" w:rsidRPr="006B766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15F39" w:rsidRPr="006B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39" w:rsidRPr="006B7669">
        <w:rPr>
          <w:rFonts w:ascii="Times New Roman" w:hAnsi="Times New Roman" w:cs="Times New Roman"/>
          <w:sz w:val="24"/>
          <w:szCs w:val="24"/>
        </w:rPr>
        <w:t>negatoskops</w:t>
      </w:r>
      <w:proofErr w:type="spellEnd"/>
      <w:r w:rsidR="00B15F39" w:rsidRPr="006B7669">
        <w:rPr>
          <w:rFonts w:ascii="Times New Roman" w:hAnsi="Times New Roman" w:cs="Times New Roman"/>
          <w:sz w:val="24"/>
          <w:szCs w:val="24"/>
        </w:rPr>
        <w:t xml:space="preserve"> ar maināmu apgaismojumu intervālā no 3000–6000 cd/m 2; </w:t>
      </w:r>
    </w:p>
    <w:p w14:paraId="71CD2467" w14:textId="77777777" w:rsidR="00B15F39" w:rsidRPr="006B7669" w:rsidRDefault="00B15F39" w:rsidP="00DF7BB1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lastRenderedPageBreak/>
        <w:t>drukas iekārtas izšķiršanas spēja ne mazāka kā 20 pikseļi uz 1 mm.</w:t>
      </w:r>
    </w:p>
    <w:p w14:paraId="65FA7EBF" w14:textId="77777777" w:rsidR="00756888" w:rsidRPr="00AC712A" w:rsidRDefault="004E0F90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12A">
        <w:rPr>
          <w:rFonts w:ascii="Times New Roman" w:hAnsi="Times New Roman" w:cs="Times New Roman"/>
          <w:sz w:val="24"/>
          <w:szCs w:val="24"/>
        </w:rPr>
        <w:t>Personāla prasības</w:t>
      </w:r>
      <w:r w:rsidR="00756888" w:rsidRPr="00AC712A">
        <w:rPr>
          <w:rFonts w:ascii="Times New Roman" w:hAnsi="Times New Roman" w:cs="Times New Roman"/>
          <w:sz w:val="24"/>
          <w:szCs w:val="24"/>
        </w:rPr>
        <w:t>:</w:t>
      </w:r>
    </w:p>
    <w:p w14:paraId="55DD64FD" w14:textId="77777777" w:rsidR="001B53D6" w:rsidRPr="006B7669" w:rsidRDefault="001B53D6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669">
        <w:rPr>
          <w:rFonts w:ascii="Times New Roman" w:hAnsi="Times New Roman" w:cs="Times New Roman"/>
          <w:sz w:val="24"/>
          <w:szCs w:val="24"/>
        </w:rPr>
        <w:t>Skrīninga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669">
        <w:rPr>
          <w:rFonts w:ascii="Times New Roman" w:hAnsi="Times New Roman" w:cs="Times New Roman"/>
          <w:sz w:val="24"/>
          <w:szCs w:val="24"/>
        </w:rPr>
        <w:t>mamogrāfijas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pakalp</w:t>
      </w:r>
      <w:r w:rsidR="008845D3" w:rsidRPr="006B7669">
        <w:rPr>
          <w:rFonts w:ascii="Times New Roman" w:hAnsi="Times New Roman" w:cs="Times New Roman"/>
          <w:sz w:val="24"/>
          <w:szCs w:val="24"/>
        </w:rPr>
        <w:t>o</w:t>
      </w:r>
      <w:r w:rsidRPr="006B7669">
        <w:rPr>
          <w:rFonts w:ascii="Times New Roman" w:hAnsi="Times New Roman" w:cs="Times New Roman"/>
          <w:sz w:val="24"/>
          <w:szCs w:val="24"/>
        </w:rPr>
        <w:t>jumu sniedzējiem</w:t>
      </w:r>
      <w:r w:rsidR="00B15F39" w:rsidRPr="006B76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782490" w14:textId="77777777" w:rsidR="001B53D6" w:rsidRPr="006B7669" w:rsidRDefault="001B53D6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Ārstniecības iestādē nodarbināti ne mazāk kā divi radiologi;</w:t>
      </w:r>
    </w:p>
    <w:p w14:paraId="011F7C50" w14:textId="77777777" w:rsidR="00020955" w:rsidRPr="006B7669" w:rsidRDefault="001B53D6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Apliecinājums, ka </w:t>
      </w:r>
      <w:r w:rsidR="008969A7" w:rsidRPr="006B7669">
        <w:rPr>
          <w:rFonts w:ascii="Times New Roman" w:hAnsi="Times New Roman" w:cs="Times New Roman"/>
          <w:sz w:val="24"/>
          <w:szCs w:val="24"/>
        </w:rPr>
        <w:t xml:space="preserve">katrs </w:t>
      </w:r>
      <w:r w:rsidRPr="006B7669">
        <w:rPr>
          <w:rFonts w:ascii="Times New Roman" w:hAnsi="Times New Roman" w:cs="Times New Roman"/>
          <w:sz w:val="24"/>
          <w:szCs w:val="24"/>
        </w:rPr>
        <w:t xml:space="preserve">radiologs </w:t>
      </w:r>
      <w:r w:rsidR="00B15F39"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Pr="006B7669">
        <w:rPr>
          <w:rFonts w:ascii="Times New Roman" w:hAnsi="Times New Roman" w:cs="Times New Roman"/>
          <w:sz w:val="24"/>
          <w:szCs w:val="24"/>
        </w:rPr>
        <w:t>2016. gadā ir veicis</w:t>
      </w:r>
      <w:r w:rsidR="00B15F39" w:rsidRPr="006B7669">
        <w:rPr>
          <w:rFonts w:ascii="Times New Roman" w:hAnsi="Times New Roman" w:cs="Times New Roman"/>
          <w:sz w:val="24"/>
          <w:szCs w:val="24"/>
        </w:rPr>
        <w:t xml:space="preserve"> vismaz 500</w:t>
      </w:r>
      <w:r w:rsidR="008845D3" w:rsidRPr="006B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3" w:rsidRPr="006B7669">
        <w:rPr>
          <w:rFonts w:ascii="Times New Roman" w:hAnsi="Times New Roman" w:cs="Times New Roman"/>
          <w:sz w:val="24"/>
          <w:szCs w:val="24"/>
        </w:rPr>
        <w:t>mamogra</w:t>
      </w:r>
      <w:r w:rsidR="00B15F39" w:rsidRPr="006B7669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B15F39" w:rsidRPr="006B7669">
        <w:rPr>
          <w:rFonts w:ascii="Times New Roman" w:hAnsi="Times New Roman" w:cs="Times New Roman"/>
          <w:sz w:val="24"/>
          <w:szCs w:val="24"/>
        </w:rPr>
        <w:t xml:space="preserve"> </w:t>
      </w:r>
      <w:r w:rsidR="006C2621" w:rsidRPr="006B7669">
        <w:rPr>
          <w:rFonts w:ascii="Times New Roman" w:hAnsi="Times New Roman" w:cs="Times New Roman"/>
          <w:sz w:val="24"/>
          <w:szCs w:val="24"/>
        </w:rPr>
        <w:t>izmeklējumu aprakstus;</w:t>
      </w:r>
    </w:p>
    <w:p w14:paraId="2FF0ADEE" w14:textId="77777777" w:rsidR="006C2621" w:rsidRPr="006B7669" w:rsidRDefault="006C2621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Diagnostisko izmeklējumu pakalpojumu sniedzējiem:</w:t>
      </w:r>
    </w:p>
    <w:p w14:paraId="3F4D4506" w14:textId="77777777" w:rsidR="00756888" w:rsidRDefault="006C2621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Ā</w:t>
      </w:r>
      <w:r w:rsidR="001B53D6" w:rsidRPr="006B7669">
        <w:rPr>
          <w:rFonts w:ascii="Times New Roman" w:hAnsi="Times New Roman" w:cs="Times New Roman"/>
          <w:sz w:val="24"/>
          <w:szCs w:val="24"/>
        </w:rPr>
        <w:t>rstniecības iestādē ir nodarbināts vismaz viens radiologs.</w:t>
      </w:r>
    </w:p>
    <w:p w14:paraId="125DDA0D" w14:textId="216079C9" w:rsidR="006B6445" w:rsidRPr="004810E5" w:rsidRDefault="006B6445" w:rsidP="004810E5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E5">
        <w:rPr>
          <w:rFonts w:ascii="Times New Roman" w:hAnsi="Times New Roman" w:cs="Times New Roman"/>
          <w:sz w:val="24"/>
          <w:szCs w:val="24"/>
        </w:rPr>
        <w:t xml:space="preserve">Ārstniecības personas parakstīts apliecinājums par </w:t>
      </w:r>
      <w:r w:rsidR="00996DEC">
        <w:rPr>
          <w:rFonts w:ascii="Times New Roman" w:hAnsi="Times New Roman" w:cs="Times New Roman"/>
          <w:sz w:val="24"/>
          <w:szCs w:val="24"/>
        </w:rPr>
        <w:t xml:space="preserve">nodrošināmo </w:t>
      </w:r>
      <w:r w:rsidRPr="004810E5">
        <w:rPr>
          <w:rFonts w:ascii="Times New Roman" w:hAnsi="Times New Roman" w:cs="Times New Roman"/>
          <w:sz w:val="24"/>
          <w:szCs w:val="24"/>
        </w:rPr>
        <w:t xml:space="preserve">izmeklējumu </w:t>
      </w:r>
      <w:r w:rsidR="00B150CF" w:rsidRPr="004810E5">
        <w:rPr>
          <w:rFonts w:ascii="Times New Roman" w:hAnsi="Times New Roman" w:cs="Times New Roman"/>
          <w:sz w:val="24"/>
          <w:szCs w:val="24"/>
        </w:rPr>
        <w:t xml:space="preserve">skaitu </w:t>
      </w:r>
      <w:r w:rsidRPr="004810E5">
        <w:rPr>
          <w:rFonts w:ascii="Times New Roman" w:hAnsi="Times New Roman" w:cs="Times New Roman"/>
          <w:sz w:val="24"/>
          <w:szCs w:val="24"/>
        </w:rPr>
        <w:t>periodā.</w:t>
      </w:r>
    </w:p>
    <w:p w14:paraId="3582DEDE" w14:textId="77777777" w:rsidR="00B15F39" w:rsidRPr="006B7669" w:rsidRDefault="00EB24F6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 xml:space="preserve">Pakalpojuma sniedzējam </w:t>
      </w:r>
      <w:r w:rsidR="00603CC8">
        <w:rPr>
          <w:rFonts w:ascii="Times New Roman" w:hAnsi="Times New Roman"/>
          <w:sz w:val="24"/>
          <w:szCs w:val="24"/>
        </w:rPr>
        <w:t xml:space="preserve">jāievēro </w:t>
      </w:r>
      <w:r w:rsidRPr="00E830E9">
        <w:rPr>
          <w:rFonts w:ascii="Times New Roman" w:hAnsi="Times New Roman"/>
          <w:sz w:val="24"/>
          <w:szCs w:val="24"/>
        </w:rPr>
        <w:t>šādas prasības pakalpojuma organizācijai</w:t>
      </w:r>
      <w:r w:rsidR="00B15F39" w:rsidRPr="00AC712A">
        <w:rPr>
          <w:rFonts w:ascii="Times New Roman" w:hAnsi="Times New Roman" w:cs="Times New Roman"/>
          <w:sz w:val="24"/>
          <w:szCs w:val="24"/>
        </w:rPr>
        <w:t>:</w:t>
      </w:r>
    </w:p>
    <w:p w14:paraId="78ACC2B0" w14:textId="77777777" w:rsidR="008845D3" w:rsidRPr="006B7669" w:rsidRDefault="008845D3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Vispārīgās prasības pakalpojuma nodrošināšanai</w:t>
      </w:r>
      <w:r w:rsidR="006C2621" w:rsidRPr="006B7669">
        <w:rPr>
          <w:rFonts w:ascii="Times New Roman" w:hAnsi="Times New Roman" w:cs="Times New Roman"/>
          <w:sz w:val="24"/>
          <w:szCs w:val="24"/>
        </w:rPr>
        <w:t>:</w:t>
      </w:r>
    </w:p>
    <w:p w14:paraId="16B5C430" w14:textId="77777777" w:rsidR="00B15F39" w:rsidRPr="006B7669" w:rsidRDefault="00B15F39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Nodrošina pacientu pierakstu uz izmeklējumu gan telefoniski, gan elektroniski;</w:t>
      </w:r>
    </w:p>
    <w:p w14:paraId="56342ECB" w14:textId="77777777" w:rsidR="00B15F39" w:rsidRPr="006B7669" w:rsidRDefault="00B15F39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Jāinformē pacients par izmeklēšanas procedūras </w:t>
      </w:r>
      <w:r w:rsidR="00EB24F6">
        <w:rPr>
          <w:rFonts w:ascii="Times New Roman" w:hAnsi="Times New Roman" w:cs="Times New Roman"/>
          <w:sz w:val="24"/>
          <w:szCs w:val="24"/>
        </w:rPr>
        <w:t>norisi</w:t>
      </w:r>
      <w:r w:rsidRPr="006B7669">
        <w:rPr>
          <w:rFonts w:ascii="Times New Roman" w:hAnsi="Times New Roman" w:cs="Times New Roman"/>
          <w:sz w:val="24"/>
          <w:szCs w:val="24"/>
        </w:rPr>
        <w:t xml:space="preserve">, par </w:t>
      </w:r>
      <w:proofErr w:type="spellStart"/>
      <w:r w:rsidRPr="006B7669">
        <w:rPr>
          <w:rFonts w:ascii="Times New Roman" w:hAnsi="Times New Roman" w:cs="Times New Roman"/>
          <w:sz w:val="24"/>
          <w:szCs w:val="24"/>
        </w:rPr>
        <w:t>skrīninga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izmeklē</w:t>
      </w:r>
      <w:r w:rsidR="00EB24F6">
        <w:rPr>
          <w:rFonts w:ascii="Times New Roman" w:hAnsi="Times New Roman" w:cs="Times New Roman"/>
          <w:sz w:val="24"/>
          <w:szCs w:val="24"/>
        </w:rPr>
        <w:t>jumu</w:t>
      </w:r>
      <w:r w:rsidRPr="006B7669">
        <w:rPr>
          <w:rFonts w:ascii="Times New Roman" w:hAnsi="Times New Roman" w:cs="Times New Roman"/>
          <w:sz w:val="24"/>
          <w:szCs w:val="24"/>
        </w:rPr>
        <w:t xml:space="preserve"> veikšanas biežumu un izmeklējumu rezultātu saņemšanas kārtību ārstniecības iestādē;</w:t>
      </w:r>
    </w:p>
    <w:p w14:paraId="2AF3F4EB" w14:textId="77777777" w:rsidR="00B15F39" w:rsidRPr="006B7669" w:rsidRDefault="00B15F39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Nodrošina izmeklējumu aprakstu 3 darba dienās;</w:t>
      </w:r>
    </w:p>
    <w:p w14:paraId="6C07A6AC" w14:textId="77777777" w:rsidR="00B15F39" w:rsidRPr="006B7669" w:rsidRDefault="00B15F39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Nodrošina rezultātu izsniegšanu uz līgumā noteiktās veidlapas;</w:t>
      </w:r>
    </w:p>
    <w:p w14:paraId="7C920360" w14:textId="77777777" w:rsidR="00B15F39" w:rsidRPr="006B7669" w:rsidRDefault="00B15F39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Pacienti tiek elektroniski vai rakstiski informēti par R4 un R5 izmeklējuma rezultātiem un nepieciešamību veikt tālākos izmeklējumus</w:t>
      </w:r>
      <w:r w:rsidR="002B29FA" w:rsidRPr="006B7669">
        <w:rPr>
          <w:rFonts w:ascii="Times New Roman" w:hAnsi="Times New Roman" w:cs="Times New Roman"/>
          <w:sz w:val="24"/>
          <w:szCs w:val="24"/>
        </w:rPr>
        <w:t xml:space="preserve"> piecās darba dienās</w:t>
      </w:r>
      <w:r w:rsidRPr="006B7669">
        <w:rPr>
          <w:rFonts w:ascii="Times New Roman" w:hAnsi="Times New Roman" w:cs="Times New Roman"/>
          <w:sz w:val="24"/>
          <w:szCs w:val="24"/>
        </w:rPr>
        <w:t>.</w:t>
      </w:r>
    </w:p>
    <w:p w14:paraId="0898737D" w14:textId="77777777" w:rsidR="008845D3" w:rsidRPr="006B7669" w:rsidRDefault="008845D3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Papildus prasības </w:t>
      </w:r>
      <w:proofErr w:type="spellStart"/>
      <w:r w:rsidRPr="006B7669">
        <w:rPr>
          <w:rFonts w:ascii="Times New Roman" w:hAnsi="Times New Roman" w:cs="Times New Roman"/>
          <w:sz w:val="24"/>
          <w:szCs w:val="24"/>
        </w:rPr>
        <w:t>skrīninga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izmeklējumu sniedzējiem:</w:t>
      </w:r>
    </w:p>
    <w:p w14:paraId="5B932E64" w14:textId="77777777" w:rsidR="008845D3" w:rsidRPr="006B7669" w:rsidRDefault="008845D3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Nodrošina iespēju saņemt pakalpojumu bez uzaicinājuma vēstules </w:t>
      </w:r>
      <w:proofErr w:type="spellStart"/>
      <w:r w:rsidRPr="006B7669">
        <w:rPr>
          <w:rFonts w:ascii="Times New Roman" w:hAnsi="Times New Roman" w:cs="Times New Roman"/>
          <w:sz w:val="24"/>
          <w:szCs w:val="24"/>
        </w:rPr>
        <w:t>skrīninga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 xml:space="preserve"> mērķa grupas vecuma sievietēm, ja VIS modulī “Organizētais vēža </w:t>
      </w:r>
      <w:proofErr w:type="spellStart"/>
      <w:r w:rsidRPr="006B7669">
        <w:rPr>
          <w:rFonts w:ascii="Times New Roman" w:hAnsi="Times New Roman" w:cs="Times New Roman"/>
          <w:sz w:val="24"/>
          <w:szCs w:val="24"/>
        </w:rPr>
        <w:t>skrīnings</w:t>
      </w:r>
      <w:proofErr w:type="spellEnd"/>
      <w:r w:rsidRPr="006B7669">
        <w:rPr>
          <w:rFonts w:ascii="Times New Roman" w:hAnsi="Times New Roman" w:cs="Times New Roman"/>
          <w:sz w:val="24"/>
          <w:szCs w:val="24"/>
        </w:rPr>
        <w:t>” ir redzama derīga uzaicinājuma vēstule;</w:t>
      </w:r>
    </w:p>
    <w:p w14:paraId="3867A412" w14:textId="77777777" w:rsidR="008845D3" w:rsidRPr="006B7669" w:rsidRDefault="008845D3" w:rsidP="00B150CF">
      <w:pPr>
        <w:pStyle w:val="ListParagraph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Izmeklējumu rezultātu apraksta divi radiologi</w:t>
      </w:r>
      <w:r w:rsidR="00EB24F6">
        <w:rPr>
          <w:rFonts w:ascii="Times New Roman" w:hAnsi="Times New Roman" w:cs="Times New Roman"/>
          <w:sz w:val="24"/>
          <w:szCs w:val="24"/>
        </w:rPr>
        <w:t>.</w:t>
      </w:r>
      <w:r w:rsidRPr="006B7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E1609" w14:textId="77777777" w:rsidR="006A2B30" w:rsidRPr="006B7669" w:rsidRDefault="006A2B30" w:rsidP="00B150CF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66704CC1" w14:textId="77777777" w:rsidR="008845D3" w:rsidRPr="006B7669" w:rsidRDefault="008845D3" w:rsidP="00B150C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69">
        <w:rPr>
          <w:rFonts w:ascii="Times New Roman" w:hAnsi="Times New Roman" w:cs="Times New Roman"/>
          <w:b/>
          <w:sz w:val="24"/>
          <w:szCs w:val="24"/>
        </w:rPr>
        <w:t>Pakalpojuma kvalitātes vērtēšanas kritēriji:</w:t>
      </w:r>
    </w:p>
    <w:p w14:paraId="7D3D811E" w14:textId="06057635" w:rsidR="006A2B30" w:rsidRDefault="008845D3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Pakalpojumu kvalit</w:t>
      </w:r>
      <w:r w:rsidR="002B29FA" w:rsidRPr="006B7669">
        <w:rPr>
          <w:rFonts w:ascii="Times New Roman" w:hAnsi="Times New Roman" w:cs="Times New Roman"/>
          <w:sz w:val="24"/>
          <w:szCs w:val="24"/>
        </w:rPr>
        <w:t xml:space="preserve">ātes vērtēšanas kritēriji tiek vērtēti </w:t>
      </w:r>
      <w:r w:rsidRPr="006B7669">
        <w:rPr>
          <w:rFonts w:ascii="Times New Roman" w:hAnsi="Times New Roman" w:cs="Times New Roman"/>
          <w:sz w:val="24"/>
          <w:szCs w:val="24"/>
        </w:rPr>
        <w:t xml:space="preserve">reizi gadā un NVD ir tiesīgs pārskatīt līguma nosacījumus vai pārtraukt </w:t>
      </w:r>
      <w:r w:rsidR="007B30B1" w:rsidRPr="006B7669">
        <w:rPr>
          <w:rFonts w:ascii="Times New Roman" w:hAnsi="Times New Roman" w:cs="Times New Roman"/>
          <w:sz w:val="24"/>
          <w:szCs w:val="24"/>
        </w:rPr>
        <w:t xml:space="preserve">līgumu par pakalpojumu sniegšanu, ja vērtēšanas </w:t>
      </w:r>
      <w:r w:rsidR="006A2B30" w:rsidRPr="006B7669">
        <w:rPr>
          <w:rFonts w:ascii="Times New Roman" w:hAnsi="Times New Roman" w:cs="Times New Roman"/>
          <w:sz w:val="24"/>
          <w:szCs w:val="24"/>
        </w:rPr>
        <w:t>kritēriji ir nepieņemamā līmenī</w:t>
      </w:r>
      <w:r w:rsidR="00B150CF">
        <w:rPr>
          <w:rFonts w:ascii="Times New Roman" w:hAnsi="Times New Roman" w:cs="Times New Roman"/>
          <w:sz w:val="24"/>
          <w:szCs w:val="24"/>
        </w:rPr>
        <w:t>.</w:t>
      </w:r>
    </w:p>
    <w:p w14:paraId="1A94941E" w14:textId="7FB39EEF" w:rsidR="00B150CF" w:rsidRPr="004810E5" w:rsidRDefault="00996DEC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NVD ir tiesīgs noteikt</w:t>
      </w:r>
      <w:r w:rsidR="00B150CF" w:rsidRPr="004810E5">
        <w:rPr>
          <w:rFonts w:ascii="Times New Roman" w:hAnsi="Times New Roman" w:cs="Times New Roman"/>
          <w:sz w:val="24"/>
          <w:szCs w:val="24"/>
        </w:rPr>
        <w:t xml:space="preserve"> papildus kritērijus par to iepriekš rakstiski informējot ārstniecības iestādi. Papildus kritēriji netiks ņemti vērā atlases procesā, taču tiks izmantoti kā </w:t>
      </w:r>
      <w:proofErr w:type="spellStart"/>
      <w:r w:rsidR="00B150CF" w:rsidRPr="004810E5">
        <w:rPr>
          <w:rFonts w:ascii="Times New Roman" w:hAnsi="Times New Roman" w:cs="Times New Roman"/>
          <w:sz w:val="24"/>
          <w:szCs w:val="24"/>
        </w:rPr>
        <w:t>monitorējamie</w:t>
      </w:r>
      <w:proofErr w:type="spellEnd"/>
      <w:r w:rsidR="00B150CF" w:rsidRPr="004810E5">
        <w:rPr>
          <w:rFonts w:ascii="Times New Roman" w:hAnsi="Times New Roman" w:cs="Times New Roman"/>
          <w:sz w:val="24"/>
          <w:szCs w:val="24"/>
        </w:rPr>
        <w:t xml:space="preserve"> kritēriji.</w:t>
      </w:r>
    </w:p>
    <w:p w14:paraId="3B8F6983" w14:textId="77777777" w:rsidR="008969A7" w:rsidRPr="00EB24F6" w:rsidRDefault="006A2B30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>Kritēriju</w:t>
      </w:r>
      <w:r w:rsidR="007B30B1" w:rsidRPr="00EB24F6">
        <w:rPr>
          <w:rFonts w:ascii="Times New Roman" w:hAnsi="Times New Roman" w:cs="Times New Roman"/>
          <w:sz w:val="24"/>
          <w:szCs w:val="24"/>
        </w:rPr>
        <w:t xml:space="preserve"> aprēķina metodika</w:t>
      </w:r>
      <w:r w:rsidRPr="00EB24F6">
        <w:rPr>
          <w:rFonts w:ascii="Times New Roman" w:hAnsi="Times New Roman" w:cs="Times New Roman"/>
          <w:sz w:val="24"/>
          <w:szCs w:val="24"/>
        </w:rPr>
        <w:t>:</w:t>
      </w:r>
    </w:p>
    <w:p w14:paraId="07CFAC1F" w14:textId="77777777" w:rsidR="008969A7" w:rsidRPr="006B7669" w:rsidRDefault="008969A7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>Aprēķina metodika izmeklējuma rezultātu novērtējumam</w:t>
      </w:r>
    </w:p>
    <w:p w14:paraId="450AD975" w14:textId="77777777" w:rsidR="006A2B30" w:rsidRPr="006B7669" w:rsidRDefault="006A2B30" w:rsidP="00B150CF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R3-R5 īpatsvars 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izmeklējumu ar rezultāta kodiem R3-R5 skaita summa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kopējais skrīninga izmeklējumu skaits iestādē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*100</m:t>
          </m:r>
        </m:oMath>
      </m:oMathPara>
    </w:p>
    <w:p w14:paraId="4C45402F" w14:textId="77777777" w:rsidR="008969A7" w:rsidRPr="00505A20" w:rsidRDefault="008969A7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A20">
        <w:rPr>
          <w:rFonts w:ascii="Times New Roman" w:hAnsi="Times New Roman" w:cs="Times New Roman"/>
          <w:sz w:val="24"/>
          <w:szCs w:val="24"/>
        </w:rPr>
        <w:t>Aprēķina metodika pacientu sūdzību novērtējumam</w:t>
      </w:r>
    </w:p>
    <w:p w14:paraId="17BC2D62" w14:textId="77777777" w:rsidR="006A2B30" w:rsidRPr="006B7669" w:rsidRDefault="006A2B30" w:rsidP="00B150C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925C811" w14:textId="77777777" w:rsidR="006A2B30" w:rsidRPr="006B7669" w:rsidRDefault="006A2B30" w:rsidP="00B150C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Sūdzības no pacientiem 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sūdzību skaits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kopējais izmeklējumu skaits iestādē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*100</m:t>
          </m:r>
        </m:oMath>
      </m:oMathPara>
    </w:p>
    <w:p w14:paraId="2979083F" w14:textId="77777777" w:rsidR="006D20E5" w:rsidRDefault="006D20E5" w:rsidP="00B150C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33E2B16" w14:textId="77777777" w:rsidR="00505A20" w:rsidRPr="005835C1" w:rsidRDefault="00505A20" w:rsidP="00B150CF">
      <w:pPr>
        <w:pStyle w:val="ListParagraph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1">
        <w:rPr>
          <w:rFonts w:ascii="Times New Roman" w:hAnsi="Times New Roman" w:cs="Times New Roman"/>
          <w:sz w:val="24"/>
          <w:szCs w:val="24"/>
        </w:rPr>
        <w:lastRenderedPageBreak/>
        <w:t xml:space="preserve">Aprēķina metodika radiologu </w:t>
      </w:r>
      <w:proofErr w:type="spellStart"/>
      <w:r w:rsidRPr="005835C1">
        <w:rPr>
          <w:rFonts w:ascii="Times New Roman" w:hAnsi="Times New Roman" w:cs="Times New Roman"/>
          <w:sz w:val="24"/>
          <w:szCs w:val="24"/>
        </w:rPr>
        <w:t>diagnostu</w:t>
      </w:r>
      <w:proofErr w:type="spellEnd"/>
      <w:r w:rsidRPr="005835C1">
        <w:rPr>
          <w:rFonts w:ascii="Times New Roman" w:hAnsi="Times New Roman" w:cs="Times New Roman"/>
          <w:sz w:val="24"/>
          <w:szCs w:val="24"/>
        </w:rPr>
        <w:t xml:space="preserve"> veikto </w:t>
      </w:r>
      <w:proofErr w:type="spellStart"/>
      <w:r w:rsidRPr="005835C1">
        <w:rPr>
          <w:rFonts w:ascii="Times New Roman" w:hAnsi="Times New Roman" w:cs="Times New Roman"/>
          <w:sz w:val="24"/>
          <w:szCs w:val="24"/>
        </w:rPr>
        <w:t>mamogramu</w:t>
      </w:r>
      <w:proofErr w:type="spellEnd"/>
      <w:r w:rsidRPr="005835C1">
        <w:rPr>
          <w:rFonts w:ascii="Times New Roman" w:hAnsi="Times New Roman" w:cs="Times New Roman"/>
          <w:sz w:val="24"/>
          <w:szCs w:val="24"/>
        </w:rPr>
        <w:t xml:space="preserve"> izmeklējumu aprakstu novērtējumam</w:t>
      </w:r>
    </w:p>
    <w:p w14:paraId="2307A86F" w14:textId="77777777" w:rsidR="00505A20" w:rsidRPr="005835C1" w:rsidRDefault="00505A20" w:rsidP="00B150C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6E49A7D" w14:textId="6585F482" w:rsidR="00505A20" w:rsidRPr="00E23F80" w:rsidRDefault="00505A20" w:rsidP="00E23F80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Radiologa diagnosta veiktie apraksti 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aprakstu skaits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500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*100</m:t>
          </m:r>
        </m:oMath>
      </m:oMathPara>
    </w:p>
    <w:p w14:paraId="0B076097" w14:textId="77777777" w:rsidR="006B6445" w:rsidRDefault="006B6445" w:rsidP="00B150CF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51136A8" w14:textId="77777777" w:rsidR="000F4FDE" w:rsidRPr="00EB24F6" w:rsidRDefault="006A2B30" w:rsidP="00B150CF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F6">
        <w:rPr>
          <w:rFonts w:ascii="Times New Roman" w:hAnsi="Times New Roman" w:cs="Times New Roman"/>
          <w:sz w:val="24"/>
          <w:szCs w:val="24"/>
        </w:rPr>
        <w:t>Kritēriju robežvērtības:</w:t>
      </w:r>
    </w:p>
    <w:tbl>
      <w:tblPr>
        <w:tblStyle w:val="TableGrid"/>
        <w:tblW w:w="9938" w:type="dxa"/>
        <w:tblInd w:w="-572" w:type="dxa"/>
        <w:tblLook w:val="04A0" w:firstRow="1" w:lastRow="0" w:firstColumn="1" w:lastColumn="0" w:noHBand="0" w:noVBand="1"/>
      </w:tblPr>
      <w:tblGrid>
        <w:gridCol w:w="1605"/>
        <w:gridCol w:w="999"/>
        <w:gridCol w:w="871"/>
        <w:gridCol w:w="871"/>
        <w:gridCol w:w="871"/>
        <w:gridCol w:w="871"/>
        <w:gridCol w:w="871"/>
        <w:gridCol w:w="871"/>
        <w:gridCol w:w="1054"/>
        <w:gridCol w:w="1054"/>
      </w:tblGrid>
      <w:tr w:rsidR="000F4FDE" w:rsidRPr="006B7669" w14:paraId="54B25F8C" w14:textId="77777777" w:rsidTr="009106DE">
        <w:tc>
          <w:tcPr>
            <w:tcW w:w="1605" w:type="dxa"/>
            <w:vMerge w:val="restart"/>
            <w:shd w:val="clear" w:color="auto" w:fill="E7E6E6" w:themeFill="background2"/>
          </w:tcPr>
          <w:p w14:paraId="706A8E8A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Kritērija nosaukums</w:t>
            </w:r>
          </w:p>
        </w:tc>
        <w:tc>
          <w:tcPr>
            <w:tcW w:w="8333" w:type="dxa"/>
            <w:gridSpan w:val="9"/>
            <w:shd w:val="clear" w:color="auto" w:fill="E7E6E6" w:themeFill="background2"/>
          </w:tcPr>
          <w:p w14:paraId="42EB3739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Mērķa rādītāji</w:t>
            </w:r>
          </w:p>
        </w:tc>
      </w:tr>
      <w:tr w:rsidR="000F4FDE" w:rsidRPr="006B7669" w14:paraId="41D1399D" w14:textId="77777777" w:rsidTr="009106DE">
        <w:tc>
          <w:tcPr>
            <w:tcW w:w="1605" w:type="dxa"/>
            <w:vMerge/>
            <w:shd w:val="clear" w:color="auto" w:fill="E7E6E6" w:themeFill="background2"/>
          </w:tcPr>
          <w:p w14:paraId="5A084F88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shd w:val="clear" w:color="auto" w:fill="FFCCCC"/>
          </w:tcPr>
          <w:p w14:paraId="0BDFEDCD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Nepieņemams</w:t>
            </w:r>
          </w:p>
        </w:tc>
        <w:tc>
          <w:tcPr>
            <w:tcW w:w="2613" w:type="dxa"/>
            <w:gridSpan w:val="3"/>
            <w:shd w:val="clear" w:color="auto" w:fill="FFF2CC" w:themeFill="accent4" w:themeFillTint="33"/>
          </w:tcPr>
          <w:p w14:paraId="28B27956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Uzraugāms</w:t>
            </w:r>
          </w:p>
        </w:tc>
        <w:tc>
          <w:tcPr>
            <w:tcW w:w="2979" w:type="dxa"/>
            <w:gridSpan w:val="3"/>
            <w:shd w:val="clear" w:color="auto" w:fill="E2EFD9" w:themeFill="accent6" w:themeFillTint="33"/>
          </w:tcPr>
          <w:p w14:paraId="61E5A3FE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Pieņemams</w:t>
            </w:r>
          </w:p>
        </w:tc>
      </w:tr>
      <w:tr w:rsidR="000F4FDE" w:rsidRPr="006B7669" w14:paraId="2949722A" w14:textId="77777777" w:rsidTr="009106DE">
        <w:tc>
          <w:tcPr>
            <w:tcW w:w="1605" w:type="dxa"/>
            <w:vMerge/>
            <w:shd w:val="clear" w:color="auto" w:fill="E7E6E6" w:themeFill="background2"/>
          </w:tcPr>
          <w:p w14:paraId="129C1CEC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A0E37E5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871" w:type="dxa"/>
            <w:shd w:val="clear" w:color="auto" w:fill="FFFFFF" w:themeFill="background1"/>
          </w:tcPr>
          <w:p w14:paraId="5E82FB78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  <w:tc>
          <w:tcPr>
            <w:tcW w:w="871" w:type="dxa"/>
            <w:shd w:val="clear" w:color="auto" w:fill="FFFFFF" w:themeFill="background1"/>
          </w:tcPr>
          <w:p w14:paraId="61F61C09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871" w:type="dxa"/>
            <w:shd w:val="clear" w:color="auto" w:fill="FFFFFF" w:themeFill="background1"/>
          </w:tcPr>
          <w:p w14:paraId="399E5F42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871" w:type="dxa"/>
            <w:shd w:val="clear" w:color="auto" w:fill="FFFFFF" w:themeFill="background1"/>
          </w:tcPr>
          <w:p w14:paraId="0BB94697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  <w:tc>
          <w:tcPr>
            <w:tcW w:w="871" w:type="dxa"/>
            <w:shd w:val="clear" w:color="auto" w:fill="FFFFFF" w:themeFill="background1"/>
          </w:tcPr>
          <w:p w14:paraId="5DD5B9A3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871" w:type="dxa"/>
            <w:shd w:val="clear" w:color="auto" w:fill="FFFFFF" w:themeFill="background1"/>
          </w:tcPr>
          <w:p w14:paraId="6B3F978D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1054" w:type="dxa"/>
            <w:shd w:val="clear" w:color="auto" w:fill="FFFFFF" w:themeFill="background1"/>
          </w:tcPr>
          <w:p w14:paraId="01A5E74D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  <w:tc>
          <w:tcPr>
            <w:tcW w:w="1054" w:type="dxa"/>
            <w:shd w:val="clear" w:color="auto" w:fill="FFFFFF" w:themeFill="background1"/>
          </w:tcPr>
          <w:p w14:paraId="54A717D0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69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  <w:tr w:rsidR="000F4FDE" w:rsidRPr="006B7669" w14:paraId="1A80BDB0" w14:textId="77777777" w:rsidTr="009106DE">
        <w:tc>
          <w:tcPr>
            <w:tcW w:w="1605" w:type="dxa"/>
          </w:tcPr>
          <w:p w14:paraId="01AD6DE8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 xml:space="preserve">R3 – R5 izmeklējumu īpatsvars kopējā izmeklējumu apjomā (% no kopējā </w:t>
            </w:r>
            <w:proofErr w:type="spellStart"/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skrīninga</w:t>
            </w:r>
            <w:proofErr w:type="spellEnd"/>
            <w:r w:rsidRPr="006B7669">
              <w:rPr>
                <w:rFonts w:ascii="Times New Roman" w:hAnsi="Times New Roman" w:cs="Times New Roman"/>
                <w:sz w:val="20"/>
                <w:szCs w:val="20"/>
              </w:rPr>
              <w:t xml:space="preserve"> izmeklējumu skaita iestādē)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55E1D0B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&gt;14%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368D1EF1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&gt;12%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5EE8DC57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&gt;10%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2659D8D0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&lt;10%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5FDF69EB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&lt;9%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18EF4BB8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&lt;8%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2F38822D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&lt;7%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25E6B1E5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&lt;6%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1E4364DA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&lt;5%</w:t>
            </w:r>
          </w:p>
        </w:tc>
      </w:tr>
      <w:tr w:rsidR="000F4FDE" w:rsidRPr="006B7669" w14:paraId="6CFF1BD9" w14:textId="77777777" w:rsidTr="009106DE">
        <w:tc>
          <w:tcPr>
            <w:tcW w:w="1605" w:type="dxa"/>
          </w:tcPr>
          <w:p w14:paraId="57F9CF25" w14:textId="77777777" w:rsidR="000F4FDE" w:rsidRPr="005835C1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C1">
              <w:rPr>
                <w:rFonts w:ascii="Times New Roman" w:hAnsi="Times New Roman" w:cs="Times New Roman"/>
                <w:sz w:val="20"/>
                <w:szCs w:val="20"/>
              </w:rPr>
              <w:t xml:space="preserve">Radiologu </w:t>
            </w:r>
            <w:proofErr w:type="spellStart"/>
            <w:r w:rsidRPr="005835C1">
              <w:rPr>
                <w:rFonts w:ascii="Times New Roman" w:hAnsi="Times New Roman" w:cs="Times New Roman"/>
                <w:sz w:val="20"/>
                <w:szCs w:val="20"/>
              </w:rPr>
              <w:t>diagnostu</w:t>
            </w:r>
            <w:proofErr w:type="spellEnd"/>
            <w:r w:rsidRPr="005835C1">
              <w:rPr>
                <w:rFonts w:ascii="Times New Roman" w:hAnsi="Times New Roman" w:cs="Times New Roman"/>
                <w:sz w:val="20"/>
                <w:szCs w:val="20"/>
              </w:rPr>
              <w:t xml:space="preserve"> veikto aprakstu skaits</w:t>
            </w:r>
            <w:r w:rsidR="006A2B30" w:rsidRPr="005835C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58C9FDA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≤425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(85%)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1EDD26C5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≤425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(85%)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25250C5D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≤425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(85%)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1958197D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≥450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(90%)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63D691BF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≥450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(90%)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39A23536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≥450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(90%)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1EE036E1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≥475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(95%)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1AA61C8C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≥475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(95%)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71A1F349" w14:textId="77777777" w:rsidR="000F4FDE" w:rsidRPr="004810E5" w:rsidRDefault="00505A2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0E5">
              <w:rPr>
                <w:rFonts w:ascii="Times New Roman" w:hAnsi="Times New Roman" w:cs="Times New Roman"/>
                <w:sz w:val="20"/>
                <w:szCs w:val="20"/>
              </w:rPr>
              <w:t>≥475</w:t>
            </w:r>
            <w:r w:rsidR="006B6445" w:rsidRPr="004810E5">
              <w:rPr>
                <w:rFonts w:ascii="Times New Roman" w:hAnsi="Times New Roman" w:cs="Times New Roman"/>
                <w:sz w:val="20"/>
                <w:szCs w:val="20"/>
              </w:rPr>
              <w:t xml:space="preserve"> (95%)</w:t>
            </w:r>
          </w:p>
        </w:tc>
      </w:tr>
      <w:tr w:rsidR="000F4FDE" w:rsidRPr="006B7669" w14:paraId="4A32E3DA" w14:textId="77777777" w:rsidTr="009106DE">
        <w:tc>
          <w:tcPr>
            <w:tcW w:w="1605" w:type="dxa"/>
          </w:tcPr>
          <w:p w14:paraId="11DC3611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 xml:space="preserve">Ievadīti dati VIS par sniegtajiem maksas </w:t>
            </w:r>
            <w:proofErr w:type="spellStart"/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mamogrāfijas</w:t>
            </w:r>
            <w:proofErr w:type="spellEnd"/>
            <w:r w:rsidRPr="006B7669">
              <w:rPr>
                <w:rFonts w:ascii="Times New Roman" w:hAnsi="Times New Roman" w:cs="Times New Roman"/>
                <w:sz w:val="20"/>
                <w:szCs w:val="20"/>
              </w:rPr>
              <w:t xml:space="preserve"> pakalpojumiem ar izmeklējuma rezultātu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812E2BF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Nav ievadīti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1791988C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Nav ievadīti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4796008F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Nav ievadīti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60A055A6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Ir ievadīti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0202AA22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Ir ievadīti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3B459240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Ir ievadīti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7708680E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Ir ievadīti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188CEAE2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Ir ievadīti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711B9513" w14:textId="77777777" w:rsidR="000F4FDE" w:rsidRPr="006B7669" w:rsidRDefault="000F4FDE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Ir ievadīti</w:t>
            </w:r>
          </w:p>
        </w:tc>
      </w:tr>
      <w:tr w:rsidR="006A2B30" w:rsidRPr="006B7669" w14:paraId="4BD51C41" w14:textId="77777777" w:rsidTr="009106DE">
        <w:tc>
          <w:tcPr>
            <w:tcW w:w="1605" w:type="dxa"/>
          </w:tcPr>
          <w:p w14:paraId="1D5BF60B" w14:textId="77777777" w:rsidR="006A2B30" w:rsidRPr="006B7669" w:rsidRDefault="006A2B3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Sūdzības no pacientiem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BFAC149" w14:textId="77777777" w:rsidR="006A2B30" w:rsidRPr="006B7669" w:rsidRDefault="006A2B3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0DD5FDB1" w14:textId="77777777" w:rsidR="006A2B30" w:rsidRPr="006B7669" w:rsidRDefault="006A2B3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65721FA1" w14:textId="77777777" w:rsidR="006A2B30" w:rsidRPr="006B7669" w:rsidRDefault="006A2B30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66344365" w14:textId="77777777" w:rsidR="006A2B30" w:rsidRPr="006B7669" w:rsidRDefault="006D20E5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7E0A66B5" w14:textId="77777777" w:rsidR="006A2B30" w:rsidRPr="006B7669" w:rsidRDefault="006D20E5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701338F8" w14:textId="77777777" w:rsidR="006A2B30" w:rsidRPr="006B7669" w:rsidRDefault="006D20E5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2C7D6ED1" w14:textId="77777777" w:rsidR="006A2B30" w:rsidRPr="006B7669" w:rsidRDefault="006D20E5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631110FB" w14:textId="77777777" w:rsidR="006A2B30" w:rsidRPr="006B7669" w:rsidRDefault="006D20E5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20C54AD9" w14:textId="77777777" w:rsidR="006A2B30" w:rsidRPr="006B7669" w:rsidRDefault="006D20E5" w:rsidP="00B150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14:paraId="49A9D702" w14:textId="77777777" w:rsidR="000F4FDE" w:rsidRPr="006B7669" w:rsidRDefault="006A2B30" w:rsidP="00B150CF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B7669">
        <w:rPr>
          <w:rFonts w:ascii="Times New Roman" w:hAnsi="Times New Roman" w:cs="Times New Roman"/>
          <w:b/>
          <w:sz w:val="24"/>
          <w:szCs w:val="24"/>
        </w:rPr>
        <w:t>*</w:t>
      </w:r>
      <w:r w:rsidR="00E33251">
        <w:rPr>
          <w:rFonts w:ascii="Times New Roman" w:hAnsi="Times New Roman" w:cs="Times New Roman"/>
          <w:sz w:val="16"/>
          <w:szCs w:val="16"/>
        </w:rPr>
        <w:t>Datu avots</w:t>
      </w:r>
      <w:r w:rsidR="000F4FDE" w:rsidRPr="006B7669">
        <w:rPr>
          <w:rFonts w:ascii="Times New Roman" w:hAnsi="Times New Roman" w:cs="Times New Roman"/>
          <w:sz w:val="16"/>
          <w:szCs w:val="16"/>
        </w:rPr>
        <w:t>:</w:t>
      </w:r>
      <w:r w:rsidRPr="006B76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F4FDE" w:rsidRPr="006B7669">
        <w:rPr>
          <w:rFonts w:ascii="Times New Roman" w:hAnsi="Times New Roman" w:cs="Times New Roman"/>
          <w:sz w:val="16"/>
          <w:szCs w:val="16"/>
          <w:lang w:val="en-US"/>
        </w:rPr>
        <w:t>European Commission, in cooperati</w:t>
      </w:r>
      <w:r w:rsidRPr="006B7669">
        <w:rPr>
          <w:rFonts w:ascii="Times New Roman" w:hAnsi="Times New Roman" w:cs="Times New Roman"/>
          <w:sz w:val="16"/>
          <w:szCs w:val="16"/>
          <w:lang w:val="en-US"/>
        </w:rPr>
        <w:t xml:space="preserve">on with EUREF, EBCN and EUSOMA. </w:t>
      </w:r>
      <w:r w:rsidR="000F4FDE" w:rsidRPr="006B7669">
        <w:rPr>
          <w:rFonts w:ascii="Times New Roman" w:hAnsi="Times New Roman" w:cs="Times New Roman"/>
          <w:sz w:val="16"/>
          <w:szCs w:val="16"/>
          <w:lang w:val="en-US"/>
        </w:rPr>
        <w:t>European Guidelines for Quality Assurance in Breast Cancer Screening and Diagnosis. 4th edition. 2006. 416 p.</w:t>
      </w:r>
    </w:p>
    <w:sectPr w:rsidR="000F4FDE" w:rsidRPr="006B7669" w:rsidSect="00896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AE749" w14:textId="77777777" w:rsidR="003B6033" w:rsidRDefault="003B6033" w:rsidP="008969A7">
      <w:pPr>
        <w:spacing w:after="0" w:line="240" w:lineRule="auto"/>
      </w:pPr>
      <w:r>
        <w:separator/>
      </w:r>
    </w:p>
  </w:endnote>
  <w:endnote w:type="continuationSeparator" w:id="0">
    <w:p w14:paraId="4ED5C3AB" w14:textId="77777777" w:rsidR="003B6033" w:rsidRDefault="003B6033" w:rsidP="008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DAEC" w14:textId="77777777" w:rsidR="0049223A" w:rsidRDefault="00492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9DDF" w14:textId="77777777" w:rsidR="0049223A" w:rsidRDefault="00492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069D" w14:textId="77777777" w:rsidR="0049223A" w:rsidRDefault="0049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6206" w14:textId="77777777" w:rsidR="003B6033" w:rsidRDefault="003B6033" w:rsidP="008969A7">
      <w:pPr>
        <w:spacing w:after="0" w:line="240" w:lineRule="auto"/>
      </w:pPr>
      <w:r>
        <w:separator/>
      </w:r>
    </w:p>
  </w:footnote>
  <w:footnote w:type="continuationSeparator" w:id="0">
    <w:p w14:paraId="186B16E4" w14:textId="77777777" w:rsidR="003B6033" w:rsidRDefault="003B6033" w:rsidP="008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06DB" w14:textId="77777777" w:rsidR="0049223A" w:rsidRDefault="00492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A78F" w14:textId="3DA769E3" w:rsidR="008969A7" w:rsidRPr="0049223A" w:rsidRDefault="008969A7" w:rsidP="00492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D21D" w14:textId="77777777" w:rsidR="0049223A" w:rsidRDefault="00492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192B"/>
    <w:multiLevelType w:val="hybridMultilevel"/>
    <w:tmpl w:val="72D856D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EF7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181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07621B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60F3A"/>
    <w:multiLevelType w:val="hybridMultilevel"/>
    <w:tmpl w:val="CBA87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02B18"/>
    <w:multiLevelType w:val="hybridMultilevel"/>
    <w:tmpl w:val="749A95B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06B9D"/>
    <w:multiLevelType w:val="hybridMultilevel"/>
    <w:tmpl w:val="07E421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55893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4C59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A904CF"/>
    <w:multiLevelType w:val="hybridMultilevel"/>
    <w:tmpl w:val="697887C8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90"/>
    <w:rsid w:val="00020955"/>
    <w:rsid w:val="000B1DE1"/>
    <w:rsid w:val="000B4761"/>
    <w:rsid w:val="000F3D19"/>
    <w:rsid w:val="000F4FDE"/>
    <w:rsid w:val="001B53D6"/>
    <w:rsid w:val="001D1490"/>
    <w:rsid w:val="002A6844"/>
    <w:rsid w:val="002B29FA"/>
    <w:rsid w:val="003164C4"/>
    <w:rsid w:val="003A5D3C"/>
    <w:rsid w:val="003B6033"/>
    <w:rsid w:val="00416E45"/>
    <w:rsid w:val="0044391E"/>
    <w:rsid w:val="004463CF"/>
    <w:rsid w:val="004810E5"/>
    <w:rsid w:val="004913EA"/>
    <w:rsid w:val="0049223A"/>
    <w:rsid w:val="004E0F90"/>
    <w:rsid w:val="00505A20"/>
    <w:rsid w:val="005356BA"/>
    <w:rsid w:val="005835C1"/>
    <w:rsid w:val="005C513E"/>
    <w:rsid w:val="00603CC8"/>
    <w:rsid w:val="00606B39"/>
    <w:rsid w:val="006A2B30"/>
    <w:rsid w:val="006B1231"/>
    <w:rsid w:val="006B6445"/>
    <w:rsid w:val="006B7669"/>
    <w:rsid w:val="006C2621"/>
    <w:rsid w:val="006D20E5"/>
    <w:rsid w:val="00756888"/>
    <w:rsid w:val="0076187F"/>
    <w:rsid w:val="007B30B1"/>
    <w:rsid w:val="007E3E38"/>
    <w:rsid w:val="008056C1"/>
    <w:rsid w:val="008268FB"/>
    <w:rsid w:val="008323FC"/>
    <w:rsid w:val="008327C1"/>
    <w:rsid w:val="008806AD"/>
    <w:rsid w:val="008845D3"/>
    <w:rsid w:val="008969A7"/>
    <w:rsid w:val="00996DEC"/>
    <w:rsid w:val="009A7E3B"/>
    <w:rsid w:val="009B1145"/>
    <w:rsid w:val="00A30255"/>
    <w:rsid w:val="00A458C8"/>
    <w:rsid w:val="00AC712A"/>
    <w:rsid w:val="00AF637C"/>
    <w:rsid w:val="00B150CF"/>
    <w:rsid w:val="00B15F39"/>
    <w:rsid w:val="00B23786"/>
    <w:rsid w:val="00B31542"/>
    <w:rsid w:val="00B35DA2"/>
    <w:rsid w:val="00C33FD9"/>
    <w:rsid w:val="00C97833"/>
    <w:rsid w:val="00CC2047"/>
    <w:rsid w:val="00CD7A6F"/>
    <w:rsid w:val="00CE191F"/>
    <w:rsid w:val="00CE4E44"/>
    <w:rsid w:val="00D4263C"/>
    <w:rsid w:val="00D5637B"/>
    <w:rsid w:val="00D63E69"/>
    <w:rsid w:val="00DF7BB1"/>
    <w:rsid w:val="00E23F80"/>
    <w:rsid w:val="00E33251"/>
    <w:rsid w:val="00E673BC"/>
    <w:rsid w:val="00EA720F"/>
    <w:rsid w:val="00EB24F6"/>
    <w:rsid w:val="00EE42F9"/>
    <w:rsid w:val="00F55B1A"/>
    <w:rsid w:val="00F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3CC47"/>
  <w15:chartTrackingRefBased/>
  <w15:docId w15:val="{39343F3B-AB84-4797-B53D-C3F793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201C-AE76-482F-A7F7-0EF435E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Alda Reinika</cp:lastModifiedBy>
  <cp:revision>4</cp:revision>
  <cp:lastPrinted>2017-06-22T09:29:00Z</cp:lastPrinted>
  <dcterms:created xsi:type="dcterms:W3CDTF">2017-06-30T10:59:00Z</dcterms:created>
  <dcterms:modified xsi:type="dcterms:W3CDTF">2017-06-30T11:11:00Z</dcterms:modified>
</cp:coreProperties>
</file>