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76B03" w14:textId="77777777" w:rsidR="00A53F7E" w:rsidRPr="001E0852" w:rsidRDefault="00A53F7E" w:rsidP="00A53F7E">
      <w:pPr>
        <w:ind w:right="26"/>
        <w:jc w:val="right"/>
        <w:rPr>
          <w:i/>
          <w:szCs w:val="24"/>
        </w:rPr>
      </w:pPr>
      <w:r w:rsidRPr="001E0852">
        <w:rPr>
          <w:i/>
          <w:szCs w:val="24"/>
        </w:rPr>
        <w:t>5.pielikums</w:t>
      </w:r>
    </w:p>
    <w:p w14:paraId="695153F0" w14:textId="77777777" w:rsidR="00A53F7E" w:rsidRPr="001E0852" w:rsidRDefault="00A53F7E" w:rsidP="00A53F7E">
      <w:pPr>
        <w:ind w:right="26"/>
        <w:jc w:val="right"/>
        <w:rPr>
          <w:i/>
          <w:szCs w:val="24"/>
        </w:rPr>
      </w:pPr>
      <w:r w:rsidRPr="001E0852">
        <w:rPr>
          <w:i/>
          <w:szCs w:val="24"/>
        </w:rPr>
        <w:t>līgumam par stacionārās veselības</w:t>
      </w:r>
    </w:p>
    <w:p w14:paraId="700E1625" w14:textId="77777777" w:rsidR="00A53F7E" w:rsidRPr="001E0852" w:rsidRDefault="00A53F7E" w:rsidP="00A53F7E">
      <w:pPr>
        <w:ind w:right="26"/>
        <w:jc w:val="right"/>
        <w:rPr>
          <w:i/>
          <w:szCs w:val="24"/>
        </w:rPr>
      </w:pPr>
      <w:r w:rsidRPr="001E0852">
        <w:rPr>
          <w:i/>
          <w:szCs w:val="24"/>
        </w:rPr>
        <w:t>aprūpes pakalpojumu sniegšanu un apmaksu</w:t>
      </w:r>
    </w:p>
    <w:p w14:paraId="67748239" w14:textId="77777777" w:rsidR="00A53F7E" w:rsidRPr="001E0852" w:rsidRDefault="00A53F7E" w:rsidP="00A53F7E">
      <w:pPr>
        <w:widowControl/>
        <w:ind w:right="27"/>
        <w:jc w:val="both"/>
        <w:rPr>
          <w:rFonts w:eastAsia="Times New Roman"/>
          <w:b/>
          <w:szCs w:val="24"/>
        </w:rPr>
      </w:pPr>
    </w:p>
    <w:p w14:paraId="7BB4BD6A" w14:textId="77777777" w:rsidR="00A53F7E" w:rsidRDefault="00A53F7E" w:rsidP="00A53F7E">
      <w:pPr>
        <w:widowControl/>
        <w:ind w:right="27"/>
        <w:jc w:val="both"/>
        <w:rPr>
          <w:rFonts w:eastAsia="Times New Roman"/>
          <w:b/>
          <w:szCs w:val="24"/>
        </w:rPr>
      </w:pPr>
    </w:p>
    <w:p w14:paraId="5FD37D3F" w14:textId="77777777" w:rsidR="00A53F7E" w:rsidRDefault="00A53F7E" w:rsidP="00A53F7E">
      <w:pPr>
        <w:widowControl/>
        <w:ind w:right="27"/>
        <w:jc w:val="center"/>
        <w:rPr>
          <w:rFonts w:eastAsia="Times New Roman"/>
          <w:b/>
          <w:szCs w:val="24"/>
        </w:rPr>
      </w:pPr>
      <w:r>
        <w:rPr>
          <w:rFonts w:eastAsia="Times New Roman"/>
          <w:b/>
          <w:szCs w:val="24"/>
        </w:rPr>
        <w:t xml:space="preserve">Stacionāro plānveida onkoloģisko pakalpojumu </w:t>
      </w:r>
    </w:p>
    <w:p w14:paraId="4F78CFE6" w14:textId="77777777" w:rsidR="00A53F7E" w:rsidRDefault="00A53F7E" w:rsidP="00A53F7E">
      <w:pPr>
        <w:widowControl/>
        <w:ind w:right="27"/>
        <w:jc w:val="center"/>
        <w:rPr>
          <w:rFonts w:eastAsia="Times New Roman"/>
          <w:b/>
          <w:szCs w:val="24"/>
        </w:rPr>
      </w:pPr>
      <w:r>
        <w:rPr>
          <w:rFonts w:eastAsia="Times New Roman"/>
          <w:b/>
          <w:szCs w:val="24"/>
        </w:rPr>
        <w:t>sniegšanas un apmaksas nosacījumi</w:t>
      </w:r>
    </w:p>
    <w:p w14:paraId="68CC879D" w14:textId="77777777" w:rsidR="00A53F7E" w:rsidRDefault="00A53F7E" w:rsidP="00A53F7E">
      <w:pPr>
        <w:widowControl/>
        <w:ind w:right="27"/>
        <w:jc w:val="center"/>
        <w:rPr>
          <w:rFonts w:eastAsia="Times New Roman"/>
          <w:b/>
          <w:szCs w:val="24"/>
        </w:rPr>
      </w:pPr>
    </w:p>
    <w:p w14:paraId="097B82CE" w14:textId="77777777" w:rsidR="00A53F7E" w:rsidRDefault="00A53F7E" w:rsidP="00A53F7E">
      <w:pPr>
        <w:widowControl/>
        <w:tabs>
          <w:tab w:val="left" w:pos="284"/>
        </w:tabs>
        <w:ind w:right="27"/>
        <w:jc w:val="both"/>
        <w:rPr>
          <w:rFonts w:eastAsia="Times New Roman"/>
          <w:szCs w:val="24"/>
        </w:rPr>
      </w:pPr>
    </w:p>
    <w:p w14:paraId="6255DA79" w14:textId="77777777" w:rsidR="00A53F7E" w:rsidRPr="00B2499B" w:rsidRDefault="00A53F7E" w:rsidP="00A53F7E">
      <w:pPr>
        <w:widowControl/>
        <w:numPr>
          <w:ilvl w:val="0"/>
          <w:numId w:val="1"/>
        </w:numPr>
        <w:ind w:left="426" w:right="27" w:hanging="426"/>
        <w:jc w:val="both"/>
        <w:rPr>
          <w:rFonts w:eastAsia="Times New Roman"/>
          <w:szCs w:val="24"/>
        </w:rPr>
      </w:pPr>
      <w:r>
        <w:rPr>
          <w:rFonts w:eastAsia="Times New Roman"/>
          <w:szCs w:val="24"/>
        </w:rPr>
        <w:t>IZPILDĪTĀJS nodrošina sekojošus stacionāros plānveida onkoloģisko</w:t>
      </w:r>
      <w:r w:rsidRPr="00FA28AD">
        <w:rPr>
          <w:rFonts w:eastAsia="Times New Roman"/>
          <w:szCs w:val="24"/>
        </w:rPr>
        <w:t xml:space="preserve"> pakalpojuma veid</w:t>
      </w:r>
      <w:r>
        <w:rPr>
          <w:rFonts w:eastAsia="Times New Roman"/>
          <w:szCs w:val="24"/>
        </w:rPr>
        <w:t>us:</w:t>
      </w:r>
    </w:p>
    <w:p w14:paraId="12AB324B" w14:textId="77777777" w:rsidR="00A53F7E" w:rsidRPr="00B2499B" w:rsidRDefault="00A53F7E" w:rsidP="00A53F7E">
      <w:pPr>
        <w:pStyle w:val="ListParagraph"/>
        <w:numPr>
          <w:ilvl w:val="1"/>
          <w:numId w:val="1"/>
        </w:numPr>
        <w:ind w:left="993" w:hanging="567"/>
        <w:jc w:val="both"/>
        <w:rPr>
          <w:szCs w:val="24"/>
        </w:rPr>
      </w:pPr>
      <w:r w:rsidRPr="00B2499B">
        <w:rPr>
          <w:szCs w:val="24"/>
        </w:rPr>
        <w:t>staru terapija;</w:t>
      </w:r>
    </w:p>
    <w:p w14:paraId="4CB53505" w14:textId="77777777" w:rsidR="00A53F7E" w:rsidRPr="00B2499B" w:rsidRDefault="00A53F7E" w:rsidP="00A53F7E">
      <w:pPr>
        <w:pStyle w:val="ListParagraph"/>
        <w:numPr>
          <w:ilvl w:val="1"/>
          <w:numId w:val="1"/>
        </w:numPr>
        <w:ind w:left="993" w:hanging="567"/>
        <w:jc w:val="both"/>
        <w:rPr>
          <w:szCs w:val="24"/>
        </w:rPr>
      </w:pPr>
      <w:r w:rsidRPr="00B2499B">
        <w:rPr>
          <w:szCs w:val="24"/>
        </w:rPr>
        <w:t xml:space="preserve">ķīmijterapija; </w:t>
      </w:r>
    </w:p>
    <w:p w14:paraId="5EBFEF7C" w14:textId="30C5F60D" w:rsidR="00A53F7E" w:rsidRPr="00B2499B" w:rsidRDefault="00A53F7E" w:rsidP="00A53F7E">
      <w:pPr>
        <w:pStyle w:val="ListParagraph"/>
        <w:numPr>
          <w:ilvl w:val="1"/>
          <w:numId w:val="1"/>
        </w:numPr>
        <w:ind w:left="993" w:hanging="567"/>
        <w:jc w:val="both"/>
        <w:rPr>
          <w:szCs w:val="24"/>
        </w:rPr>
      </w:pPr>
      <w:r w:rsidRPr="00B2499B">
        <w:rPr>
          <w:szCs w:val="24"/>
        </w:rPr>
        <w:t>ķirurģisko pakalpojumu sniegšana</w:t>
      </w:r>
      <w:r w:rsidR="006A211F">
        <w:rPr>
          <w:szCs w:val="24"/>
        </w:rPr>
        <w:t>.</w:t>
      </w:r>
    </w:p>
    <w:p w14:paraId="04534CC1" w14:textId="77777777" w:rsidR="00A53F7E" w:rsidRDefault="00A53F7E" w:rsidP="00A53F7E">
      <w:pPr>
        <w:widowControl/>
        <w:ind w:left="284" w:right="27"/>
        <w:jc w:val="both"/>
        <w:rPr>
          <w:rFonts w:eastAsia="Times New Roman"/>
          <w:szCs w:val="24"/>
        </w:rPr>
      </w:pPr>
    </w:p>
    <w:p w14:paraId="0AB44063" w14:textId="77777777" w:rsidR="00A53F7E" w:rsidRPr="00FA28AD" w:rsidRDefault="00A53F7E" w:rsidP="00A53F7E">
      <w:pPr>
        <w:widowControl/>
        <w:numPr>
          <w:ilvl w:val="0"/>
          <w:numId w:val="1"/>
        </w:numPr>
        <w:ind w:left="426" w:right="27" w:hanging="426"/>
        <w:jc w:val="both"/>
        <w:rPr>
          <w:rFonts w:eastAsia="Times New Roman"/>
          <w:szCs w:val="24"/>
        </w:rPr>
      </w:pPr>
      <w:r>
        <w:rPr>
          <w:rFonts w:eastAsia="Times New Roman"/>
          <w:szCs w:val="24"/>
        </w:rPr>
        <w:t>IZPILDĪTĀJS nodrošina plānveida ķirurģiskos onkoloģiskos</w:t>
      </w:r>
      <w:r w:rsidRPr="00FA28AD">
        <w:rPr>
          <w:rFonts w:eastAsia="Times New Roman"/>
          <w:szCs w:val="24"/>
        </w:rPr>
        <w:t xml:space="preserve"> pakalpojum</w:t>
      </w:r>
      <w:r>
        <w:rPr>
          <w:rFonts w:eastAsia="Times New Roman"/>
          <w:szCs w:val="24"/>
        </w:rPr>
        <w:t>us pieaugušajiem sekojošās lokalizācijās:</w:t>
      </w:r>
    </w:p>
    <w:p w14:paraId="4016D940" w14:textId="77777777" w:rsidR="00A53F7E" w:rsidRPr="001065F8" w:rsidRDefault="00A53F7E" w:rsidP="00A53F7E">
      <w:pPr>
        <w:pStyle w:val="ListParagraph"/>
        <w:numPr>
          <w:ilvl w:val="1"/>
          <w:numId w:val="1"/>
        </w:numPr>
        <w:ind w:left="993" w:hanging="567"/>
        <w:jc w:val="both"/>
        <w:rPr>
          <w:szCs w:val="24"/>
        </w:rPr>
      </w:pPr>
      <w:r w:rsidRPr="001065F8">
        <w:rPr>
          <w:szCs w:val="24"/>
        </w:rPr>
        <w:t>A - nervu sistēma;</w:t>
      </w:r>
    </w:p>
    <w:p w14:paraId="47994A6F" w14:textId="77777777" w:rsidR="00A53F7E" w:rsidRPr="001065F8" w:rsidRDefault="00A53F7E" w:rsidP="00A53F7E">
      <w:pPr>
        <w:pStyle w:val="ListParagraph"/>
        <w:numPr>
          <w:ilvl w:val="1"/>
          <w:numId w:val="1"/>
        </w:numPr>
        <w:ind w:left="993" w:hanging="567"/>
        <w:jc w:val="both"/>
        <w:rPr>
          <w:szCs w:val="24"/>
        </w:rPr>
      </w:pPr>
      <w:r w:rsidRPr="001065F8">
        <w:rPr>
          <w:szCs w:val="24"/>
        </w:rPr>
        <w:t xml:space="preserve">BA-BB - vairogdziedzeris un </w:t>
      </w:r>
      <w:proofErr w:type="spellStart"/>
      <w:r w:rsidRPr="001065F8">
        <w:rPr>
          <w:szCs w:val="24"/>
        </w:rPr>
        <w:t>epitēlijķermenīši</w:t>
      </w:r>
      <w:proofErr w:type="spellEnd"/>
      <w:r w:rsidRPr="001065F8">
        <w:rPr>
          <w:szCs w:val="24"/>
        </w:rPr>
        <w:t>;</w:t>
      </w:r>
    </w:p>
    <w:p w14:paraId="5EC96A86" w14:textId="77777777" w:rsidR="00A53F7E" w:rsidRPr="001065F8" w:rsidRDefault="00A53F7E" w:rsidP="00A53F7E">
      <w:pPr>
        <w:pStyle w:val="ListParagraph"/>
        <w:numPr>
          <w:ilvl w:val="1"/>
          <w:numId w:val="1"/>
        </w:numPr>
        <w:ind w:left="993" w:hanging="567"/>
        <w:jc w:val="both"/>
        <w:rPr>
          <w:szCs w:val="24"/>
        </w:rPr>
      </w:pPr>
      <w:r w:rsidRPr="001065F8">
        <w:rPr>
          <w:szCs w:val="24"/>
        </w:rPr>
        <w:t>BC – virsnieres;</w:t>
      </w:r>
    </w:p>
    <w:p w14:paraId="70088D97" w14:textId="77777777" w:rsidR="00A53F7E" w:rsidRPr="001065F8" w:rsidRDefault="00A53F7E" w:rsidP="00A53F7E">
      <w:pPr>
        <w:pStyle w:val="ListParagraph"/>
        <w:numPr>
          <w:ilvl w:val="1"/>
          <w:numId w:val="1"/>
        </w:numPr>
        <w:ind w:left="993" w:hanging="567"/>
        <w:jc w:val="both"/>
        <w:rPr>
          <w:szCs w:val="24"/>
        </w:rPr>
      </w:pPr>
      <w:r w:rsidRPr="001065F8">
        <w:rPr>
          <w:szCs w:val="24"/>
        </w:rPr>
        <w:t>C - acs un tai piegulošās struktūras;</w:t>
      </w:r>
    </w:p>
    <w:p w14:paraId="132CBDD0" w14:textId="77777777" w:rsidR="00A53F7E" w:rsidRPr="001065F8" w:rsidRDefault="00A53F7E" w:rsidP="00A53F7E">
      <w:pPr>
        <w:pStyle w:val="ListParagraph"/>
        <w:numPr>
          <w:ilvl w:val="1"/>
          <w:numId w:val="1"/>
        </w:numPr>
        <w:ind w:left="993" w:hanging="567"/>
        <w:jc w:val="both"/>
        <w:rPr>
          <w:szCs w:val="24"/>
        </w:rPr>
      </w:pPr>
      <w:r w:rsidRPr="001065F8">
        <w:rPr>
          <w:szCs w:val="24"/>
        </w:rPr>
        <w:t>D - auss, deguns un balsene;</w:t>
      </w:r>
    </w:p>
    <w:p w14:paraId="367A9407" w14:textId="77777777" w:rsidR="00A53F7E" w:rsidRPr="001065F8" w:rsidRDefault="00A53F7E" w:rsidP="00A53F7E">
      <w:pPr>
        <w:pStyle w:val="ListParagraph"/>
        <w:numPr>
          <w:ilvl w:val="1"/>
          <w:numId w:val="1"/>
        </w:numPr>
        <w:ind w:left="993" w:hanging="567"/>
        <w:jc w:val="both"/>
        <w:rPr>
          <w:szCs w:val="24"/>
        </w:rPr>
      </w:pPr>
      <w:r w:rsidRPr="001065F8">
        <w:rPr>
          <w:szCs w:val="24"/>
        </w:rPr>
        <w:t>E - zobi, žokļi, mute un rīkle;</w:t>
      </w:r>
    </w:p>
    <w:p w14:paraId="178DA49E" w14:textId="1B9E6B91" w:rsidR="00A53F7E" w:rsidRPr="001065F8" w:rsidRDefault="00A53F7E" w:rsidP="00A53F7E">
      <w:pPr>
        <w:pStyle w:val="ListParagraph"/>
        <w:numPr>
          <w:ilvl w:val="1"/>
          <w:numId w:val="1"/>
        </w:numPr>
        <w:ind w:left="993" w:hanging="567"/>
        <w:jc w:val="both"/>
        <w:rPr>
          <w:szCs w:val="24"/>
        </w:rPr>
      </w:pPr>
      <w:r w:rsidRPr="001065F8">
        <w:rPr>
          <w:szCs w:val="24"/>
        </w:rPr>
        <w:t>G - krūškurvja siena, pleira, videne, diafragma, traheja, bronhi un plaušas</w:t>
      </w:r>
      <w:r w:rsidR="00AB0197">
        <w:rPr>
          <w:szCs w:val="24"/>
        </w:rPr>
        <w:t>;</w:t>
      </w:r>
    </w:p>
    <w:p w14:paraId="2FF0ED3C" w14:textId="77777777" w:rsidR="00A53F7E" w:rsidRPr="001065F8" w:rsidRDefault="00A53F7E" w:rsidP="00A53F7E">
      <w:pPr>
        <w:pStyle w:val="ListParagraph"/>
        <w:numPr>
          <w:ilvl w:val="1"/>
          <w:numId w:val="1"/>
        </w:numPr>
        <w:ind w:left="993" w:hanging="567"/>
        <w:jc w:val="both"/>
        <w:rPr>
          <w:szCs w:val="24"/>
        </w:rPr>
      </w:pPr>
      <w:r w:rsidRPr="001065F8">
        <w:rPr>
          <w:szCs w:val="24"/>
        </w:rPr>
        <w:t>H – krūts;</w:t>
      </w:r>
    </w:p>
    <w:p w14:paraId="48C9D43D" w14:textId="608CFBA2" w:rsidR="00A53F7E" w:rsidRPr="001065F8" w:rsidRDefault="00A53F7E" w:rsidP="00A53F7E">
      <w:pPr>
        <w:pStyle w:val="ListParagraph"/>
        <w:numPr>
          <w:ilvl w:val="1"/>
          <w:numId w:val="1"/>
        </w:numPr>
        <w:ind w:left="993" w:hanging="567"/>
        <w:jc w:val="both"/>
        <w:rPr>
          <w:szCs w:val="24"/>
        </w:rPr>
      </w:pPr>
      <w:r w:rsidRPr="001065F8">
        <w:rPr>
          <w:szCs w:val="24"/>
        </w:rPr>
        <w:t xml:space="preserve">JA, JE, JF, JG, JH, JX - vēdera siena, apzarnis, vēderplēve un lielā taukplēve, aklās zarnas </w:t>
      </w:r>
      <w:proofErr w:type="spellStart"/>
      <w:r w:rsidRPr="001065F8">
        <w:rPr>
          <w:szCs w:val="24"/>
        </w:rPr>
        <w:t>tārpveida</w:t>
      </w:r>
      <w:proofErr w:type="spellEnd"/>
      <w:r w:rsidRPr="001065F8">
        <w:rPr>
          <w:szCs w:val="24"/>
        </w:rPr>
        <w:t xml:space="preserve"> piedēklis (apendikss), zarnas, taisnā zarna, tūplis un </w:t>
      </w:r>
      <w:proofErr w:type="spellStart"/>
      <w:r w:rsidRPr="001065F8">
        <w:rPr>
          <w:szCs w:val="24"/>
        </w:rPr>
        <w:t>perianālie</w:t>
      </w:r>
      <w:proofErr w:type="spellEnd"/>
      <w:r w:rsidRPr="001065F8">
        <w:rPr>
          <w:szCs w:val="24"/>
        </w:rPr>
        <w:t xml:space="preserve"> audi, abdominālas operācijas kopā ar cita vai blakus esoša anatomiska apvidus operācijā</w:t>
      </w:r>
      <w:r w:rsidR="00AB0197">
        <w:rPr>
          <w:szCs w:val="24"/>
        </w:rPr>
        <w:t>m</w:t>
      </w:r>
      <w:r w:rsidRPr="001065F8">
        <w:rPr>
          <w:szCs w:val="24"/>
        </w:rPr>
        <w:t>;</w:t>
      </w:r>
    </w:p>
    <w:p w14:paraId="01DFFFE8" w14:textId="77777777" w:rsidR="00A53F7E" w:rsidRPr="001065F8" w:rsidRDefault="00A53F7E" w:rsidP="00A53F7E">
      <w:pPr>
        <w:pStyle w:val="ListParagraph"/>
        <w:numPr>
          <w:ilvl w:val="1"/>
          <w:numId w:val="1"/>
        </w:numPr>
        <w:ind w:left="993" w:hanging="567"/>
        <w:jc w:val="both"/>
        <w:rPr>
          <w:szCs w:val="24"/>
        </w:rPr>
      </w:pPr>
      <w:r w:rsidRPr="001065F8">
        <w:rPr>
          <w:szCs w:val="24"/>
        </w:rPr>
        <w:t xml:space="preserve">JB, JC, JD, JM - diafragma un </w:t>
      </w:r>
      <w:proofErr w:type="spellStart"/>
      <w:r w:rsidRPr="001065F8">
        <w:rPr>
          <w:szCs w:val="24"/>
        </w:rPr>
        <w:t>gastroezofageāls</w:t>
      </w:r>
      <w:proofErr w:type="spellEnd"/>
      <w:r w:rsidRPr="001065F8">
        <w:rPr>
          <w:szCs w:val="24"/>
        </w:rPr>
        <w:t xml:space="preserve"> </w:t>
      </w:r>
      <w:proofErr w:type="spellStart"/>
      <w:r w:rsidRPr="001065F8">
        <w:rPr>
          <w:szCs w:val="24"/>
        </w:rPr>
        <w:t>atvilnis</w:t>
      </w:r>
      <w:proofErr w:type="spellEnd"/>
      <w:r w:rsidRPr="001065F8">
        <w:rPr>
          <w:szCs w:val="24"/>
        </w:rPr>
        <w:t xml:space="preserve"> (</w:t>
      </w:r>
      <w:proofErr w:type="spellStart"/>
      <w:r w:rsidRPr="001065F8">
        <w:rPr>
          <w:szCs w:val="24"/>
        </w:rPr>
        <w:t>reflukss</w:t>
      </w:r>
      <w:proofErr w:type="spellEnd"/>
      <w:r w:rsidRPr="001065F8">
        <w:rPr>
          <w:szCs w:val="24"/>
        </w:rPr>
        <w:t xml:space="preserve">), barības vads, kuņģis un </w:t>
      </w:r>
      <w:proofErr w:type="spellStart"/>
      <w:r w:rsidRPr="001065F8">
        <w:rPr>
          <w:szCs w:val="24"/>
        </w:rPr>
        <w:t>divpadsmitpirkstu</w:t>
      </w:r>
      <w:proofErr w:type="spellEnd"/>
      <w:r w:rsidRPr="001065F8">
        <w:rPr>
          <w:szCs w:val="24"/>
        </w:rPr>
        <w:t xml:space="preserve"> zarna, liesa;</w:t>
      </w:r>
    </w:p>
    <w:p w14:paraId="09690F4C" w14:textId="77777777" w:rsidR="00A53F7E" w:rsidRPr="001065F8" w:rsidRDefault="00A53F7E" w:rsidP="00A53F7E">
      <w:pPr>
        <w:pStyle w:val="ListParagraph"/>
        <w:numPr>
          <w:ilvl w:val="1"/>
          <w:numId w:val="1"/>
        </w:numPr>
        <w:ind w:left="993" w:hanging="567"/>
        <w:jc w:val="both"/>
        <w:rPr>
          <w:szCs w:val="24"/>
        </w:rPr>
      </w:pPr>
      <w:r w:rsidRPr="001065F8">
        <w:rPr>
          <w:szCs w:val="24"/>
        </w:rPr>
        <w:t xml:space="preserve">JJ, JK un JL - aknas, </w:t>
      </w:r>
      <w:proofErr w:type="spellStart"/>
      <w:r w:rsidRPr="001065F8">
        <w:rPr>
          <w:szCs w:val="24"/>
        </w:rPr>
        <w:t>žultsceļi</w:t>
      </w:r>
      <w:proofErr w:type="spellEnd"/>
      <w:r w:rsidRPr="001065F8">
        <w:rPr>
          <w:szCs w:val="24"/>
        </w:rPr>
        <w:t xml:space="preserve"> un aizkuņģa dziedzeris;</w:t>
      </w:r>
    </w:p>
    <w:p w14:paraId="1E7C89F1" w14:textId="77777777" w:rsidR="00A53F7E" w:rsidRPr="001065F8" w:rsidRDefault="00A53F7E" w:rsidP="00A53F7E">
      <w:pPr>
        <w:pStyle w:val="ListParagraph"/>
        <w:numPr>
          <w:ilvl w:val="1"/>
          <w:numId w:val="1"/>
        </w:numPr>
        <w:ind w:left="993" w:hanging="567"/>
        <w:jc w:val="both"/>
        <w:rPr>
          <w:szCs w:val="24"/>
        </w:rPr>
      </w:pPr>
      <w:r w:rsidRPr="001065F8">
        <w:rPr>
          <w:szCs w:val="24"/>
        </w:rPr>
        <w:t xml:space="preserve">K - </w:t>
      </w:r>
      <w:proofErr w:type="spellStart"/>
      <w:r w:rsidRPr="001065F8">
        <w:rPr>
          <w:szCs w:val="24"/>
        </w:rPr>
        <w:t>urīnizvadsistēma</w:t>
      </w:r>
      <w:proofErr w:type="spellEnd"/>
      <w:r w:rsidRPr="001065F8">
        <w:rPr>
          <w:szCs w:val="24"/>
        </w:rPr>
        <w:t xml:space="preserve">, vīriešu dzimumorgāni un </w:t>
      </w:r>
      <w:proofErr w:type="spellStart"/>
      <w:r w:rsidRPr="001065F8">
        <w:rPr>
          <w:szCs w:val="24"/>
        </w:rPr>
        <w:t>retroperitoneālā</w:t>
      </w:r>
      <w:proofErr w:type="spellEnd"/>
      <w:r w:rsidRPr="001065F8">
        <w:rPr>
          <w:szCs w:val="24"/>
        </w:rPr>
        <w:t xml:space="preserve"> telpa;</w:t>
      </w:r>
    </w:p>
    <w:p w14:paraId="2AC496EB" w14:textId="77777777" w:rsidR="00A53F7E" w:rsidRPr="001065F8" w:rsidRDefault="00A53F7E" w:rsidP="00A53F7E">
      <w:pPr>
        <w:pStyle w:val="ListParagraph"/>
        <w:numPr>
          <w:ilvl w:val="1"/>
          <w:numId w:val="1"/>
        </w:numPr>
        <w:ind w:left="993" w:hanging="567"/>
        <w:jc w:val="both"/>
        <w:rPr>
          <w:szCs w:val="24"/>
        </w:rPr>
      </w:pPr>
      <w:r w:rsidRPr="001065F8">
        <w:rPr>
          <w:szCs w:val="24"/>
        </w:rPr>
        <w:t>L - sieviešu dzimumorgānu sistēma;</w:t>
      </w:r>
    </w:p>
    <w:p w14:paraId="52DE7EB0" w14:textId="77777777" w:rsidR="00A53F7E" w:rsidRPr="001065F8" w:rsidRDefault="00A53F7E" w:rsidP="00A53F7E">
      <w:pPr>
        <w:pStyle w:val="ListParagraph"/>
        <w:numPr>
          <w:ilvl w:val="1"/>
          <w:numId w:val="1"/>
        </w:numPr>
        <w:ind w:left="993" w:hanging="567"/>
        <w:jc w:val="both"/>
        <w:rPr>
          <w:szCs w:val="24"/>
        </w:rPr>
      </w:pPr>
      <w:r w:rsidRPr="001065F8">
        <w:rPr>
          <w:szCs w:val="24"/>
        </w:rPr>
        <w:t>N - muskuļu un skeleta sistēma;</w:t>
      </w:r>
    </w:p>
    <w:p w14:paraId="3CAF08CE" w14:textId="77777777" w:rsidR="00A53F7E" w:rsidRPr="001065F8" w:rsidRDefault="00A53F7E" w:rsidP="00A53F7E">
      <w:pPr>
        <w:pStyle w:val="ListParagraph"/>
        <w:numPr>
          <w:ilvl w:val="1"/>
          <w:numId w:val="1"/>
        </w:numPr>
        <w:ind w:left="993" w:hanging="567"/>
        <w:jc w:val="both"/>
        <w:rPr>
          <w:szCs w:val="24"/>
        </w:rPr>
      </w:pPr>
      <w:r w:rsidRPr="001065F8">
        <w:rPr>
          <w:szCs w:val="24"/>
        </w:rPr>
        <w:t>PJ - limfātiskās sistēmas operācijas;</w:t>
      </w:r>
    </w:p>
    <w:p w14:paraId="21F1A759" w14:textId="77777777" w:rsidR="0040732F" w:rsidRDefault="00A53F7E" w:rsidP="00A53F7E">
      <w:pPr>
        <w:pStyle w:val="ListParagraph"/>
        <w:numPr>
          <w:ilvl w:val="1"/>
          <w:numId w:val="1"/>
        </w:numPr>
        <w:ind w:left="993" w:hanging="567"/>
        <w:jc w:val="both"/>
        <w:rPr>
          <w:szCs w:val="24"/>
        </w:rPr>
      </w:pPr>
      <w:r w:rsidRPr="001065F8">
        <w:rPr>
          <w:szCs w:val="24"/>
        </w:rPr>
        <w:t>Q – āda.</w:t>
      </w:r>
    </w:p>
    <w:p w14:paraId="4EADB302" w14:textId="77777777" w:rsidR="00A53F7E" w:rsidRDefault="00A53F7E" w:rsidP="00A53F7E">
      <w:pPr>
        <w:pStyle w:val="ListParagraph"/>
        <w:ind w:left="993"/>
        <w:jc w:val="both"/>
        <w:rPr>
          <w:szCs w:val="24"/>
        </w:rPr>
      </w:pPr>
    </w:p>
    <w:p w14:paraId="758B6906" w14:textId="78514497" w:rsidR="00A53F7E" w:rsidRPr="00A57C21" w:rsidRDefault="003250CA" w:rsidP="00A57C21">
      <w:pPr>
        <w:pStyle w:val="ListParagraph"/>
        <w:numPr>
          <w:ilvl w:val="0"/>
          <w:numId w:val="1"/>
        </w:numPr>
        <w:ind w:left="426" w:hanging="426"/>
        <w:jc w:val="both"/>
        <w:rPr>
          <w:szCs w:val="24"/>
        </w:rPr>
      </w:pPr>
      <w:r w:rsidRPr="00506C5D">
        <w:rPr>
          <w:szCs w:val="24"/>
        </w:rPr>
        <w:t xml:space="preserve">IZPILDĪTĀJS </w:t>
      </w:r>
      <w:r w:rsidR="005925D2" w:rsidRPr="00506C5D">
        <w:rPr>
          <w:szCs w:val="24"/>
        </w:rPr>
        <w:t xml:space="preserve">nodrošina, ka </w:t>
      </w:r>
      <w:r w:rsidR="001C2101" w:rsidRPr="00506C5D">
        <w:rPr>
          <w:szCs w:val="24"/>
        </w:rPr>
        <w:t xml:space="preserve">vismaz 80% </w:t>
      </w:r>
      <w:r w:rsidR="001C2101" w:rsidRPr="00CE3E4C">
        <w:rPr>
          <w:rFonts w:eastAsia="Times New Roman"/>
          <w:szCs w:val="24"/>
        </w:rPr>
        <w:t xml:space="preserve">no ārstniecības iestādē pieaugušajiem pacientiem veiktajām plānveida ķirurģiskajām onkoloģiskajām manipulācijām, </w:t>
      </w:r>
      <w:r w:rsidR="001C2101" w:rsidRPr="00A55B49">
        <w:rPr>
          <w:rFonts w:eastAsia="Times New Roman"/>
          <w:szCs w:val="24"/>
        </w:rPr>
        <w:t xml:space="preserve">nodrošina </w:t>
      </w:r>
      <w:r w:rsidR="005925D2" w:rsidRPr="00A55B49">
        <w:rPr>
          <w:rFonts w:eastAsia="Times New Roman"/>
          <w:szCs w:val="24"/>
        </w:rPr>
        <w:t>šādas</w:t>
      </w:r>
      <w:r w:rsidRPr="00A55B49">
        <w:rPr>
          <w:rFonts w:eastAsia="Times New Roman"/>
          <w:szCs w:val="24"/>
        </w:rPr>
        <w:t xml:space="preserve"> ārstniecības personas</w:t>
      </w:r>
      <w:bookmarkStart w:id="0" w:name="_Hlk103245452"/>
      <w:r w:rsidR="001C2101" w:rsidRPr="000B4896">
        <w:t>:</w:t>
      </w:r>
    </w:p>
    <w:tbl>
      <w:tblPr>
        <w:tblStyle w:val="TableGrid"/>
        <w:tblW w:w="0" w:type="auto"/>
        <w:jc w:val="right"/>
        <w:tblLook w:val="04A0" w:firstRow="1" w:lastRow="0" w:firstColumn="1" w:lastColumn="0" w:noHBand="0" w:noVBand="1"/>
      </w:tblPr>
      <w:tblGrid>
        <w:gridCol w:w="849"/>
        <w:gridCol w:w="2693"/>
        <w:gridCol w:w="1692"/>
        <w:gridCol w:w="1692"/>
        <w:gridCol w:w="1670"/>
      </w:tblGrid>
      <w:tr w:rsidR="000C3BB4" w14:paraId="7A185FF5" w14:textId="10B2B641" w:rsidTr="00CD4665">
        <w:trPr>
          <w:jc w:val="right"/>
        </w:trPr>
        <w:tc>
          <w:tcPr>
            <w:tcW w:w="708" w:type="dxa"/>
            <w:vAlign w:val="center"/>
          </w:tcPr>
          <w:bookmarkEnd w:id="0"/>
          <w:p w14:paraId="0048F6DB" w14:textId="3B0917A4" w:rsidR="000C3BB4" w:rsidRPr="00A55B49" w:rsidRDefault="000C3BB4" w:rsidP="00EE3BB6">
            <w:pPr>
              <w:widowControl/>
              <w:tabs>
                <w:tab w:val="left" w:pos="284"/>
              </w:tabs>
              <w:ind w:right="27"/>
              <w:jc w:val="center"/>
              <w:rPr>
                <w:rFonts w:eastAsia="Times New Roman"/>
                <w:b/>
                <w:sz w:val="20"/>
                <w:szCs w:val="20"/>
              </w:rPr>
            </w:pPr>
            <w:proofErr w:type="spellStart"/>
            <w:r w:rsidRPr="00A55B49">
              <w:rPr>
                <w:rFonts w:eastAsia="Times New Roman"/>
                <w:b/>
                <w:sz w:val="20"/>
                <w:szCs w:val="20"/>
              </w:rPr>
              <w:t>Nr.p.k</w:t>
            </w:r>
            <w:proofErr w:type="spellEnd"/>
            <w:r w:rsidRPr="00A55B49">
              <w:rPr>
                <w:rFonts w:eastAsia="Times New Roman"/>
                <w:b/>
                <w:sz w:val="20"/>
                <w:szCs w:val="20"/>
              </w:rPr>
              <w:t>.</w:t>
            </w:r>
          </w:p>
        </w:tc>
        <w:tc>
          <w:tcPr>
            <w:tcW w:w="2693" w:type="dxa"/>
            <w:vAlign w:val="center"/>
          </w:tcPr>
          <w:p w14:paraId="0A32E3CA" w14:textId="66DCCDBC" w:rsidR="000C3BB4" w:rsidRPr="00A55B49" w:rsidRDefault="000C3BB4" w:rsidP="00EE3BB6">
            <w:pPr>
              <w:widowControl/>
              <w:tabs>
                <w:tab w:val="left" w:pos="284"/>
              </w:tabs>
              <w:ind w:right="27"/>
              <w:jc w:val="center"/>
              <w:rPr>
                <w:rFonts w:eastAsia="Times New Roman"/>
                <w:b/>
                <w:sz w:val="20"/>
                <w:szCs w:val="20"/>
              </w:rPr>
            </w:pPr>
            <w:r w:rsidRPr="00A55B49">
              <w:rPr>
                <w:rFonts w:eastAsia="Times New Roman"/>
                <w:b/>
                <w:bCs/>
                <w:color w:val="000000"/>
                <w:sz w:val="20"/>
                <w:szCs w:val="20"/>
                <w:lang w:eastAsia="lv-LV"/>
              </w:rPr>
              <w:t>Vārds, uzvārds, identifikators</w:t>
            </w:r>
          </w:p>
        </w:tc>
        <w:tc>
          <w:tcPr>
            <w:tcW w:w="1692" w:type="dxa"/>
            <w:vAlign w:val="center"/>
          </w:tcPr>
          <w:p w14:paraId="5D5960A6" w14:textId="3FCD995C" w:rsidR="000C3BB4" w:rsidRPr="00A55B49" w:rsidRDefault="000C3BB4" w:rsidP="00EE3BB6">
            <w:pPr>
              <w:widowControl/>
              <w:tabs>
                <w:tab w:val="left" w:pos="284"/>
              </w:tabs>
              <w:ind w:right="27"/>
              <w:jc w:val="center"/>
              <w:rPr>
                <w:rFonts w:eastAsia="Times New Roman"/>
                <w:b/>
                <w:sz w:val="20"/>
                <w:szCs w:val="20"/>
              </w:rPr>
            </w:pPr>
            <w:r w:rsidRPr="00A55B49">
              <w:rPr>
                <w:rFonts w:eastAsia="Times New Roman"/>
                <w:b/>
                <w:bCs/>
                <w:color w:val="000000"/>
                <w:sz w:val="20"/>
                <w:szCs w:val="20"/>
                <w:lang w:eastAsia="lv-LV"/>
              </w:rPr>
              <w:t>Specialitāte</w:t>
            </w:r>
          </w:p>
        </w:tc>
        <w:tc>
          <w:tcPr>
            <w:tcW w:w="1692" w:type="dxa"/>
            <w:vAlign w:val="center"/>
          </w:tcPr>
          <w:p w14:paraId="48DDA539" w14:textId="4D81461F" w:rsidR="000C3BB4" w:rsidRPr="00A55B49" w:rsidRDefault="000C3BB4" w:rsidP="00EE3BB6">
            <w:pPr>
              <w:widowControl/>
              <w:tabs>
                <w:tab w:val="left" w:pos="284"/>
              </w:tabs>
              <w:ind w:right="27"/>
              <w:jc w:val="center"/>
              <w:rPr>
                <w:rFonts w:eastAsia="Times New Roman"/>
                <w:b/>
                <w:i/>
                <w:sz w:val="20"/>
                <w:szCs w:val="20"/>
              </w:rPr>
            </w:pPr>
            <w:r w:rsidRPr="00A55B49">
              <w:rPr>
                <w:rFonts w:eastAsia="Times New Roman"/>
                <w:b/>
                <w:bCs/>
                <w:i/>
                <w:color w:val="000000"/>
                <w:sz w:val="20"/>
                <w:szCs w:val="20"/>
                <w:lang w:eastAsia="lv-LV"/>
              </w:rPr>
              <w:t>Pieredzes apliecinājuma datums</w:t>
            </w:r>
          </w:p>
        </w:tc>
        <w:tc>
          <w:tcPr>
            <w:tcW w:w="1670" w:type="dxa"/>
            <w:vAlign w:val="center"/>
          </w:tcPr>
          <w:p w14:paraId="654045B9" w14:textId="736BFC15" w:rsidR="000C3BB4" w:rsidRPr="00A55B49" w:rsidRDefault="000C3BB4" w:rsidP="00EE3BB6">
            <w:pPr>
              <w:widowControl/>
              <w:tabs>
                <w:tab w:val="left" w:pos="284"/>
              </w:tabs>
              <w:ind w:right="27"/>
              <w:jc w:val="center"/>
              <w:rPr>
                <w:rFonts w:eastAsia="Times New Roman"/>
                <w:b/>
                <w:bCs/>
                <w:i/>
                <w:color w:val="000000"/>
                <w:sz w:val="20"/>
                <w:szCs w:val="20"/>
                <w:lang w:eastAsia="lv-LV"/>
              </w:rPr>
            </w:pPr>
            <w:r>
              <w:rPr>
                <w:rFonts w:eastAsia="Times New Roman"/>
                <w:b/>
                <w:bCs/>
                <w:i/>
                <w:color w:val="000000"/>
                <w:sz w:val="20"/>
                <w:szCs w:val="20"/>
                <w:lang w:eastAsia="lv-LV"/>
              </w:rPr>
              <w:t>Lokalizācijas</w:t>
            </w:r>
          </w:p>
        </w:tc>
      </w:tr>
      <w:tr w:rsidR="000C3BB4" w14:paraId="48B09BD0" w14:textId="0C0144FA" w:rsidTr="00CD4665">
        <w:trPr>
          <w:jc w:val="right"/>
        </w:trPr>
        <w:tc>
          <w:tcPr>
            <w:tcW w:w="708" w:type="dxa"/>
          </w:tcPr>
          <w:p w14:paraId="14263B8F" w14:textId="3306A292" w:rsidR="000C3BB4" w:rsidRPr="00946DFF" w:rsidRDefault="000C3BB4" w:rsidP="00EE3BB6">
            <w:pPr>
              <w:widowControl/>
              <w:tabs>
                <w:tab w:val="left" w:pos="284"/>
              </w:tabs>
              <w:ind w:right="27"/>
              <w:jc w:val="both"/>
              <w:rPr>
                <w:rFonts w:eastAsia="Times New Roman"/>
                <w:sz w:val="20"/>
                <w:szCs w:val="20"/>
              </w:rPr>
            </w:pPr>
          </w:p>
        </w:tc>
        <w:tc>
          <w:tcPr>
            <w:tcW w:w="2693" w:type="dxa"/>
          </w:tcPr>
          <w:p w14:paraId="19C792AD" w14:textId="20979568" w:rsidR="000C3BB4" w:rsidRPr="00946DFF" w:rsidRDefault="000C3BB4" w:rsidP="00EE3BB6">
            <w:pPr>
              <w:widowControl/>
              <w:tabs>
                <w:tab w:val="left" w:pos="284"/>
              </w:tabs>
              <w:ind w:right="27"/>
              <w:jc w:val="both"/>
              <w:rPr>
                <w:rFonts w:eastAsia="Times New Roman"/>
                <w:sz w:val="20"/>
                <w:szCs w:val="20"/>
              </w:rPr>
            </w:pPr>
          </w:p>
        </w:tc>
        <w:tc>
          <w:tcPr>
            <w:tcW w:w="1692" w:type="dxa"/>
          </w:tcPr>
          <w:p w14:paraId="1852B364" w14:textId="724B6C81" w:rsidR="000C3BB4" w:rsidRPr="00946DFF" w:rsidRDefault="000C3BB4" w:rsidP="00EE3BB6">
            <w:pPr>
              <w:widowControl/>
              <w:tabs>
                <w:tab w:val="left" w:pos="284"/>
              </w:tabs>
              <w:ind w:right="27"/>
              <w:jc w:val="both"/>
              <w:rPr>
                <w:rFonts w:eastAsia="Times New Roman"/>
                <w:sz w:val="20"/>
                <w:szCs w:val="20"/>
              </w:rPr>
            </w:pPr>
          </w:p>
        </w:tc>
        <w:tc>
          <w:tcPr>
            <w:tcW w:w="1692" w:type="dxa"/>
          </w:tcPr>
          <w:p w14:paraId="37B8D42D" w14:textId="528E73C5" w:rsidR="000C3BB4" w:rsidRPr="00946DFF" w:rsidRDefault="000C3BB4" w:rsidP="00EE3BB6">
            <w:pPr>
              <w:widowControl/>
              <w:tabs>
                <w:tab w:val="left" w:pos="284"/>
              </w:tabs>
              <w:ind w:right="27"/>
              <w:jc w:val="both"/>
              <w:rPr>
                <w:rFonts w:eastAsia="Times New Roman"/>
                <w:sz w:val="20"/>
                <w:szCs w:val="20"/>
              </w:rPr>
            </w:pPr>
          </w:p>
        </w:tc>
        <w:tc>
          <w:tcPr>
            <w:tcW w:w="1670" w:type="dxa"/>
          </w:tcPr>
          <w:p w14:paraId="7046A104" w14:textId="3DFC1D6A" w:rsidR="000C3BB4" w:rsidRPr="00946DFF" w:rsidRDefault="000C3BB4" w:rsidP="00EE3BB6">
            <w:pPr>
              <w:widowControl/>
              <w:tabs>
                <w:tab w:val="left" w:pos="284"/>
              </w:tabs>
              <w:ind w:right="27"/>
              <w:jc w:val="both"/>
              <w:rPr>
                <w:rFonts w:eastAsia="Times New Roman"/>
                <w:sz w:val="20"/>
                <w:szCs w:val="20"/>
              </w:rPr>
            </w:pPr>
          </w:p>
        </w:tc>
      </w:tr>
      <w:tr w:rsidR="000C3BB4" w14:paraId="4A307EE9" w14:textId="6C205D3D" w:rsidTr="00CD4665">
        <w:trPr>
          <w:jc w:val="right"/>
        </w:trPr>
        <w:tc>
          <w:tcPr>
            <w:tcW w:w="708" w:type="dxa"/>
          </w:tcPr>
          <w:p w14:paraId="3A564FC2" w14:textId="27BFD9A7" w:rsidR="000C3BB4" w:rsidRPr="00946DFF" w:rsidRDefault="000C3BB4" w:rsidP="00EE3BB6">
            <w:pPr>
              <w:widowControl/>
              <w:tabs>
                <w:tab w:val="left" w:pos="284"/>
              </w:tabs>
              <w:ind w:right="27"/>
              <w:jc w:val="both"/>
              <w:rPr>
                <w:rFonts w:eastAsia="Times New Roman"/>
                <w:sz w:val="20"/>
                <w:szCs w:val="20"/>
              </w:rPr>
            </w:pPr>
          </w:p>
        </w:tc>
        <w:tc>
          <w:tcPr>
            <w:tcW w:w="2693" w:type="dxa"/>
          </w:tcPr>
          <w:p w14:paraId="1C3E8D1C" w14:textId="060DA34E" w:rsidR="000C3BB4" w:rsidRPr="00946DFF" w:rsidRDefault="000C3BB4" w:rsidP="00EE3BB6">
            <w:pPr>
              <w:widowControl/>
              <w:tabs>
                <w:tab w:val="left" w:pos="284"/>
              </w:tabs>
              <w:ind w:right="27"/>
              <w:jc w:val="both"/>
              <w:rPr>
                <w:rFonts w:eastAsia="Times New Roman"/>
                <w:sz w:val="20"/>
                <w:szCs w:val="20"/>
              </w:rPr>
            </w:pPr>
          </w:p>
        </w:tc>
        <w:tc>
          <w:tcPr>
            <w:tcW w:w="1692" w:type="dxa"/>
          </w:tcPr>
          <w:p w14:paraId="26B83787" w14:textId="543E8D53" w:rsidR="000C3BB4" w:rsidRPr="00946DFF" w:rsidRDefault="000C3BB4" w:rsidP="00EE3BB6">
            <w:pPr>
              <w:widowControl/>
              <w:tabs>
                <w:tab w:val="left" w:pos="284"/>
              </w:tabs>
              <w:ind w:right="27"/>
              <w:jc w:val="both"/>
              <w:rPr>
                <w:rFonts w:eastAsia="Times New Roman"/>
                <w:sz w:val="20"/>
                <w:szCs w:val="20"/>
              </w:rPr>
            </w:pPr>
          </w:p>
        </w:tc>
        <w:tc>
          <w:tcPr>
            <w:tcW w:w="1692" w:type="dxa"/>
          </w:tcPr>
          <w:p w14:paraId="0436ED0B" w14:textId="7EC08682" w:rsidR="000C3BB4" w:rsidRPr="00946DFF" w:rsidRDefault="000C3BB4" w:rsidP="00EE3BB6">
            <w:pPr>
              <w:widowControl/>
              <w:tabs>
                <w:tab w:val="left" w:pos="284"/>
              </w:tabs>
              <w:ind w:right="27"/>
              <w:jc w:val="both"/>
              <w:rPr>
                <w:rFonts w:eastAsia="Times New Roman"/>
                <w:sz w:val="20"/>
                <w:szCs w:val="20"/>
              </w:rPr>
            </w:pPr>
          </w:p>
        </w:tc>
        <w:tc>
          <w:tcPr>
            <w:tcW w:w="1670" w:type="dxa"/>
          </w:tcPr>
          <w:p w14:paraId="5AF66CA1" w14:textId="3AF535DE" w:rsidR="000C3BB4" w:rsidRPr="00946DFF" w:rsidRDefault="000C3BB4" w:rsidP="00EE3BB6">
            <w:pPr>
              <w:widowControl/>
              <w:tabs>
                <w:tab w:val="left" w:pos="284"/>
              </w:tabs>
              <w:ind w:right="27"/>
              <w:jc w:val="both"/>
              <w:rPr>
                <w:rFonts w:eastAsia="Times New Roman"/>
                <w:sz w:val="20"/>
                <w:szCs w:val="20"/>
              </w:rPr>
            </w:pPr>
          </w:p>
        </w:tc>
      </w:tr>
    </w:tbl>
    <w:p w14:paraId="41818829" w14:textId="77777777" w:rsidR="001C2101" w:rsidRDefault="001C2101" w:rsidP="001C2101">
      <w:pPr>
        <w:pStyle w:val="ListParagraph"/>
        <w:ind w:left="1440"/>
        <w:jc w:val="both"/>
        <w:rPr>
          <w:szCs w:val="24"/>
        </w:rPr>
      </w:pPr>
    </w:p>
    <w:p w14:paraId="21516CBB" w14:textId="64A50D5B" w:rsidR="00A53F7E" w:rsidRPr="00506C5D" w:rsidRDefault="003E5DE4" w:rsidP="00506C5D">
      <w:pPr>
        <w:pStyle w:val="ListParagraph"/>
        <w:numPr>
          <w:ilvl w:val="0"/>
          <w:numId w:val="1"/>
        </w:numPr>
        <w:jc w:val="both"/>
        <w:rPr>
          <w:szCs w:val="24"/>
        </w:rPr>
      </w:pPr>
      <w:r>
        <w:rPr>
          <w:szCs w:val="24"/>
        </w:rPr>
        <w:t xml:space="preserve">Gadījumā, ja darbinieku sastāva izmaiņu rezultātā šī Līguma pielikuma 3.punktā norādītā ārstniecības persona tiek aizstāta ar citu, IZPILDĪTĀJS 3 (trīs) darba dienu laikā </w:t>
      </w:r>
      <w:r w:rsidR="00CA47E7" w:rsidRPr="00506C5D">
        <w:rPr>
          <w:szCs w:val="24"/>
        </w:rPr>
        <w:t>iesniedz</w:t>
      </w:r>
      <w:r w:rsidR="001C2101" w:rsidRPr="00506C5D">
        <w:rPr>
          <w:szCs w:val="24"/>
        </w:rPr>
        <w:t xml:space="preserve"> DIENESTAM </w:t>
      </w:r>
      <w:r w:rsidR="00CA47E7" w:rsidRPr="00506C5D">
        <w:rPr>
          <w:szCs w:val="24"/>
        </w:rPr>
        <w:t xml:space="preserve">informāciju </w:t>
      </w:r>
      <w:r w:rsidR="0034163A" w:rsidRPr="00506C5D">
        <w:rPr>
          <w:szCs w:val="24"/>
        </w:rPr>
        <w:t>par</w:t>
      </w:r>
      <w:r w:rsidR="007B05B8">
        <w:rPr>
          <w:szCs w:val="24"/>
        </w:rPr>
        <w:t xml:space="preserve"> ārstniecības personas, kura turpmāk sniegs attiecīgos pakalpojumus, atbilstību </w:t>
      </w:r>
      <w:r w:rsidR="007B05B8">
        <w:t xml:space="preserve">2017.gada </w:t>
      </w:r>
      <w:r w:rsidR="007B05B8">
        <w:rPr>
          <w:rFonts w:eastAsia="Times New Roman"/>
          <w:szCs w:val="24"/>
        </w:rPr>
        <w:t>ķirurģisko onkoloģisko</w:t>
      </w:r>
      <w:r w:rsidR="007B05B8">
        <w:t xml:space="preserve"> </w:t>
      </w:r>
      <w:r w:rsidR="007B05B8" w:rsidRPr="0035029B">
        <w:t>pakalpojumu snied</w:t>
      </w:r>
      <w:r w:rsidR="007B05B8">
        <w:t>zēju atlases procedūras nolikumam</w:t>
      </w:r>
      <w:r w:rsidR="007B05B8">
        <w:rPr>
          <w:szCs w:val="24"/>
        </w:rPr>
        <w:t xml:space="preserve"> attiecībā uz </w:t>
      </w:r>
      <w:r w:rsidR="001C2101" w:rsidRPr="00506C5D">
        <w:rPr>
          <w:szCs w:val="24"/>
        </w:rPr>
        <w:t>ārstniecības personas pieredzi operāciju veikšanā pa lokalizācijām</w:t>
      </w:r>
      <w:r w:rsidR="00506C5D">
        <w:rPr>
          <w:szCs w:val="24"/>
        </w:rPr>
        <w:t>.</w:t>
      </w:r>
    </w:p>
    <w:p w14:paraId="5FDC19BC" w14:textId="77777777" w:rsidR="00B1143B" w:rsidRPr="006263FC" w:rsidRDefault="00B1143B" w:rsidP="00B1143B">
      <w:pPr>
        <w:pStyle w:val="ListParagraph"/>
        <w:ind w:left="1440"/>
        <w:jc w:val="both"/>
        <w:rPr>
          <w:szCs w:val="24"/>
        </w:rPr>
      </w:pPr>
    </w:p>
    <w:p w14:paraId="19D42D7F" w14:textId="78C61386" w:rsidR="00AC2E61" w:rsidRPr="001C2232" w:rsidRDefault="00B1143B" w:rsidP="00AC2E61">
      <w:pPr>
        <w:pStyle w:val="ListParagraph"/>
        <w:widowControl/>
        <w:numPr>
          <w:ilvl w:val="0"/>
          <w:numId w:val="1"/>
        </w:numPr>
        <w:ind w:left="426" w:right="27" w:hanging="426"/>
        <w:jc w:val="both"/>
        <w:rPr>
          <w:rFonts w:eastAsia="Times New Roman"/>
          <w:szCs w:val="24"/>
        </w:rPr>
      </w:pPr>
      <w:r w:rsidRPr="001C2232">
        <w:lastRenderedPageBreak/>
        <w:t>IZPILDĪTĀJS 20</w:t>
      </w:r>
      <w:r w:rsidR="00506C5D">
        <w:t xml:space="preserve"> (divdesmit)</w:t>
      </w:r>
      <w:r w:rsidRPr="001C2232">
        <w:t xml:space="preserve"> dienu laikā </w:t>
      </w:r>
      <w:r w:rsidR="00506C5D">
        <w:t xml:space="preserve">pēc Līguma spēkā stāšanās </w:t>
      </w:r>
      <w:r w:rsidRPr="001C2232">
        <w:t>iesniedz DIEN</w:t>
      </w:r>
      <w:r w:rsidR="00087BAB">
        <w:t>E</w:t>
      </w:r>
      <w:r w:rsidRPr="001C2232">
        <w:t xml:space="preserve">STAM </w:t>
      </w:r>
      <w:r w:rsidR="00506C5D">
        <w:t xml:space="preserve">aizpildītu </w:t>
      </w:r>
      <w:r w:rsidR="008D396A" w:rsidRPr="00A86DC7">
        <w:rPr>
          <w:rFonts w:eastAsia="Times New Roman"/>
          <w:szCs w:val="24"/>
        </w:rPr>
        <w:t xml:space="preserve">DIENESTA </w:t>
      </w:r>
      <w:r w:rsidR="008D396A">
        <w:rPr>
          <w:rFonts w:eastAsia="Times New Roman"/>
          <w:szCs w:val="24"/>
        </w:rPr>
        <w:t>tīmekļvietnē</w:t>
      </w:r>
      <w:r w:rsidR="008D396A" w:rsidRPr="00A86DC7">
        <w:rPr>
          <w:rFonts w:eastAsia="Times New Roman"/>
          <w:szCs w:val="24"/>
        </w:rPr>
        <w:t xml:space="preserve"> </w:t>
      </w:r>
      <w:hyperlink r:id="rId5" w:history="1">
        <w:r w:rsidR="008D396A" w:rsidRPr="00A86DC7">
          <w:rPr>
            <w:rFonts w:eastAsia="Times New Roman"/>
            <w:color w:val="0000FF"/>
            <w:szCs w:val="24"/>
            <w:u w:val="single"/>
          </w:rPr>
          <w:t>www.vmnvd.gov.lv</w:t>
        </w:r>
      </w:hyperlink>
      <w:r w:rsidR="008D396A" w:rsidRPr="00A86DC7">
        <w:rPr>
          <w:rFonts w:eastAsia="Times New Roman"/>
          <w:szCs w:val="24"/>
        </w:rPr>
        <w:t xml:space="preserve"> sadaļā „Līgumpartneriem”</w:t>
      </w:r>
      <w:r w:rsidRPr="001C2232">
        <w:t xml:space="preserve"> norādīto</w:t>
      </w:r>
      <w:r w:rsidR="00506C5D">
        <w:t xml:space="preserve"> veidlapu</w:t>
      </w:r>
      <w:r w:rsidR="008D396A" w:rsidRPr="008D396A">
        <w:t xml:space="preserve"> “</w:t>
      </w:r>
      <w:hyperlink r:id="rId6" w:history="1">
        <w:r w:rsidR="008D396A" w:rsidRPr="008D396A">
          <w:rPr>
            <w:rStyle w:val="Hyperlink"/>
            <w:color w:val="auto"/>
            <w:u w:val="none"/>
          </w:rPr>
          <w:t>Informācija par plānveida ķirurģisko onkoloģisko pakalpojumu saņemšanas iespējām</w:t>
        </w:r>
      </w:hyperlink>
      <w:r w:rsidR="008D396A" w:rsidRPr="008D396A">
        <w:t>”</w:t>
      </w:r>
      <w:r w:rsidRPr="008D396A">
        <w:t>,</w:t>
      </w:r>
      <w:r w:rsidRPr="001C2232">
        <w:t xml:space="preserve"> kur</w:t>
      </w:r>
      <w:r w:rsidR="00506C5D">
        <w:t>ā norādīto informāciju</w:t>
      </w:r>
      <w:r w:rsidRPr="001C2232">
        <w:t xml:space="preserve"> DIENESTAM ir tiesības publicēt </w:t>
      </w:r>
      <w:r w:rsidR="00506C5D">
        <w:t xml:space="preserve">savā </w:t>
      </w:r>
      <w:r w:rsidRPr="001C2232">
        <w:t>mājas lapā.</w:t>
      </w:r>
    </w:p>
    <w:p w14:paraId="6C403D4B" w14:textId="77777777" w:rsidR="006263FC" w:rsidRDefault="006263FC" w:rsidP="00AC2E61">
      <w:pPr>
        <w:jc w:val="both"/>
        <w:rPr>
          <w:szCs w:val="24"/>
        </w:rPr>
      </w:pPr>
    </w:p>
    <w:p w14:paraId="777C604D" w14:textId="77777777" w:rsidR="00AC2E61" w:rsidRPr="00CA47E7" w:rsidRDefault="00AC2E61" w:rsidP="00506C5D">
      <w:pPr>
        <w:pStyle w:val="ListParagraph"/>
        <w:numPr>
          <w:ilvl w:val="0"/>
          <w:numId w:val="1"/>
        </w:numPr>
        <w:ind w:left="426" w:hanging="426"/>
        <w:jc w:val="both"/>
        <w:rPr>
          <w:szCs w:val="24"/>
        </w:rPr>
      </w:pPr>
      <w:r>
        <w:rPr>
          <w:szCs w:val="24"/>
        </w:rPr>
        <w:t>IZPILDĪTĀJS nodrošina:</w:t>
      </w:r>
    </w:p>
    <w:p w14:paraId="79876620" w14:textId="6691F66B" w:rsidR="00AC2E61" w:rsidRDefault="00AC2E61" w:rsidP="00506C5D">
      <w:pPr>
        <w:pStyle w:val="ListParagraph"/>
        <w:numPr>
          <w:ilvl w:val="1"/>
          <w:numId w:val="1"/>
        </w:numPr>
        <w:ind w:left="851" w:hanging="425"/>
        <w:jc w:val="both"/>
        <w:rPr>
          <w:szCs w:val="24"/>
        </w:rPr>
      </w:pPr>
      <w:r w:rsidRPr="00AC2E61">
        <w:rPr>
          <w:szCs w:val="24"/>
        </w:rPr>
        <w:t>iespēju pacienta ārstējošam ārstam veikt pierakstu uz nepieciešamo plānveida stacionārās onkol</w:t>
      </w:r>
      <w:r w:rsidR="00CA47E7">
        <w:rPr>
          <w:szCs w:val="24"/>
        </w:rPr>
        <w:t xml:space="preserve">oģiskās ārstēšanas pakalpojumu </w:t>
      </w:r>
      <w:r>
        <w:rPr>
          <w:szCs w:val="24"/>
        </w:rPr>
        <w:t>vietā, laikā un veidā</w:t>
      </w:r>
      <w:r w:rsidR="00506C5D">
        <w:rPr>
          <w:szCs w:val="24"/>
        </w:rPr>
        <w:t xml:space="preserve">, kuru IZPILDĪTĀJS ir norādījis, aizpildot šī Līguma pielikuma 5.punktā norādīto veidlapu, un DIENESTS </w:t>
      </w:r>
      <w:r w:rsidR="00506C5D" w:rsidRPr="001C2232">
        <w:t>publicē</w:t>
      </w:r>
      <w:r w:rsidR="00506C5D">
        <w:t>jis</w:t>
      </w:r>
      <w:r w:rsidR="00506C5D" w:rsidRPr="001C2232">
        <w:t xml:space="preserve"> </w:t>
      </w:r>
      <w:r w:rsidR="00506C5D">
        <w:t xml:space="preserve">savā </w:t>
      </w:r>
      <w:r w:rsidR="00506C5D" w:rsidRPr="001C2232">
        <w:t>mājas lapā</w:t>
      </w:r>
      <w:r>
        <w:rPr>
          <w:szCs w:val="24"/>
        </w:rPr>
        <w:t>;</w:t>
      </w:r>
    </w:p>
    <w:p w14:paraId="5A65D914" w14:textId="77777777" w:rsidR="00AC2E61" w:rsidRDefault="00AC2E61" w:rsidP="00506C5D">
      <w:pPr>
        <w:pStyle w:val="ListParagraph"/>
        <w:numPr>
          <w:ilvl w:val="1"/>
          <w:numId w:val="1"/>
        </w:numPr>
        <w:ind w:left="851" w:hanging="425"/>
        <w:jc w:val="both"/>
        <w:rPr>
          <w:szCs w:val="24"/>
        </w:rPr>
      </w:pPr>
      <w:r w:rsidRPr="00AC2E61">
        <w:rPr>
          <w:szCs w:val="24"/>
        </w:rPr>
        <w:t>pacienta informēšanu par ārstēšanas procesu, tā riskiem, blaknēm un citiem nozīmīgiem jautājumiem, kas saitīt</w:t>
      </w:r>
      <w:r>
        <w:rPr>
          <w:szCs w:val="24"/>
        </w:rPr>
        <w:t>i ar konkrēto ārstēšanas metodi;</w:t>
      </w:r>
    </w:p>
    <w:p w14:paraId="1045AD0F" w14:textId="77777777" w:rsidR="00AC2E61" w:rsidRPr="00AC2E61" w:rsidRDefault="00AC2E61" w:rsidP="00506C5D">
      <w:pPr>
        <w:pStyle w:val="ListParagraph"/>
        <w:numPr>
          <w:ilvl w:val="1"/>
          <w:numId w:val="1"/>
        </w:numPr>
        <w:ind w:left="851" w:hanging="425"/>
        <w:jc w:val="both"/>
        <w:rPr>
          <w:szCs w:val="24"/>
        </w:rPr>
      </w:pPr>
      <w:r>
        <w:rPr>
          <w:szCs w:val="24"/>
        </w:rPr>
        <w:t xml:space="preserve">lai </w:t>
      </w:r>
      <w:r w:rsidRPr="00350E84">
        <w:rPr>
          <w:rFonts w:eastAsia="Times New Roman"/>
          <w:szCs w:val="24"/>
        </w:rPr>
        <w:t>vismaz 80% no pacientiem sniegtajiem plānveida stacionārās onkoloģiskās ārstēšanas pakalpojumiem tiek nodrošināti 28 dienu laikā no terapijas taktikas pieņemšanas brīža</w:t>
      </w:r>
      <w:r>
        <w:t>;</w:t>
      </w:r>
    </w:p>
    <w:p w14:paraId="5C0CD54A" w14:textId="77777777" w:rsidR="00AC2E61" w:rsidRPr="00A55B49" w:rsidRDefault="00AC2E61" w:rsidP="00506C5D">
      <w:pPr>
        <w:pStyle w:val="ListParagraph"/>
        <w:numPr>
          <w:ilvl w:val="1"/>
          <w:numId w:val="1"/>
        </w:numPr>
        <w:ind w:left="851" w:hanging="425"/>
        <w:jc w:val="both"/>
        <w:rPr>
          <w:szCs w:val="24"/>
        </w:rPr>
      </w:pPr>
      <w:r w:rsidRPr="00A55B49">
        <w:t>pacientu uzraudzību septiņas dienas nedēļā 24 stundu režīmā stacionāra etapā;</w:t>
      </w:r>
    </w:p>
    <w:p w14:paraId="735F649A" w14:textId="22B5D0EE" w:rsidR="00AC2E61" w:rsidRPr="00A55B49" w:rsidRDefault="00AC2E61" w:rsidP="00506C5D">
      <w:pPr>
        <w:pStyle w:val="ListParagraph"/>
        <w:numPr>
          <w:ilvl w:val="1"/>
          <w:numId w:val="1"/>
        </w:numPr>
        <w:ind w:left="851" w:hanging="425"/>
        <w:jc w:val="both"/>
        <w:rPr>
          <w:szCs w:val="24"/>
        </w:rPr>
      </w:pPr>
      <w:r w:rsidRPr="00A55B49">
        <w:rPr>
          <w:szCs w:val="24"/>
        </w:rPr>
        <w:t>citu ārstu-speciālistu konsultācij</w:t>
      </w:r>
      <w:r w:rsidR="007458AE" w:rsidRPr="00A55B49">
        <w:rPr>
          <w:szCs w:val="24"/>
        </w:rPr>
        <w:t>as</w:t>
      </w:r>
      <w:r w:rsidRPr="00A55B49">
        <w:rPr>
          <w:szCs w:val="24"/>
        </w:rPr>
        <w:t xml:space="preserve"> un izmeklējumus </w:t>
      </w:r>
      <w:r w:rsidR="003E5DE4" w:rsidRPr="00A55B49">
        <w:rPr>
          <w:szCs w:val="24"/>
        </w:rPr>
        <w:t>stacionāro veselības aprūpes pakalpojumu saņemšanas laikā, ja pacientam tas ir nepieciešams</w:t>
      </w:r>
      <w:r w:rsidRPr="00A55B49">
        <w:rPr>
          <w:szCs w:val="24"/>
        </w:rPr>
        <w:t>;</w:t>
      </w:r>
    </w:p>
    <w:p w14:paraId="758BD3A6" w14:textId="07A77DB6" w:rsidR="0032272C" w:rsidRPr="00C137CF" w:rsidRDefault="0032272C" w:rsidP="0032272C">
      <w:pPr>
        <w:pStyle w:val="ListParagraph"/>
        <w:numPr>
          <w:ilvl w:val="1"/>
          <w:numId w:val="1"/>
        </w:numPr>
        <w:ind w:left="851" w:hanging="425"/>
        <w:jc w:val="both"/>
        <w:rPr>
          <w:szCs w:val="24"/>
        </w:rPr>
      </w:pPr>
      <w:r w:rsidRPr="00C137CF">
        <w:rPr>
          <w:szCs w:val="24"/>
        </w:rPr>
        <w:t xml:space="preserve">pieraksta / pārskata formas veidošanu, kurā tiek norādīts katra pacienta </w:t>
      </w:r>
      <w:r w:rsidR="000C3BB4">
        <w:rPr>
          <w:szCs w:val="24"/>
        </w:rPr>
        <w:t xml:space="preserve">pirmreizējās </w:t>
      </w:r>
      <w:r w:rsidRPr="00C137CF">
        <w:rPr>
          <w:szCs w:val="24"/>
        </w:rPr>
        <w:t>konsultācijas datums, pakalpojumu saņemšanas datums un laika periods starp konsultāciju un pakalpojuma saņemšanas brīdi, ko elektroniski iesniedz DIENESTAM divas reizes gadā (līdz 10.jūlijam par attiecīgā gada pirmo pusgadu un līdz 10.janvārim par iepriekšējā gada otro pusgadu), nosūtot uz elektroniskā pasta adresi: .</w:t>
      </w:r>
    </w:p>
    <w:p w14:paraId="529D7572" w14:textId="77777777" w:rsidR="007458AE" w:rsidRPr="007458AE" w:rsidRDefault="007458AE" w:rsidP="007458AE">
      <w:pPr>
        <w:ind w:left="426"/>
        <w:jc w:val="both"/>
        <w:rPr>
          <w:szCs w:val="24"/>
        </w:rPr>
      </w:pPr>
    </w:p>
    <w:p w14:paraId="6E5888B9" w14:textId="41867641" w:rsidR="00AB442C" w:rsidRPr="007458AE" w:rsidRDefault="007458AE" w:rsidP="007458AE">
      <w:pPr>
        <w:pStyle w:val="ListParagraph"/>
        <w:numPr>
          <w:ilvl w:val="0"/>
          <w:numId w:val="1"/>
        </w:numPr>
        <w:ind w:left="426" w:hanging="426"/>
        <w:jc w:val="both"/>
        <w:rPr>
          <w:szCs w:val="24"/>
        </w:rPr>
      </w:pPr>
      <w:r>
        <w:t>IZPILDĪTĀJS</w:t>
      </w:r>
      <w:r w:rsidRPr="007001EC">
        <w:t xml:space="preserve"> </w:t>
      </w:r>
      <w:r>
        <w:rPr>
          <w:rFonts w:eastAsia="Times New Roman"/>
          <w:lang w:eastAsia="lv-LV"/>
        </w:rPr>
        <w:t xml:space="preserve">nodrošina, </w:t>
      </w:r>
      <w:r w:rsidRPr="009B76B3">
        <w:rPr>
          <w:rFonts w:eastAsia="Times New Roman"/>
          <w:lang w:eastAsia="lv-LV"/>
        </w:rPr>
        <w:t>ka, izrakstot pacientu no stacionāra</w:t>
      </w:r>
      <w:r w:rsidR="006F4B90" w:rsidRPr="007458AE">
        <w:rPr>
          <w:szCs w:val="24"/>
        </w:rPr>
        <w:t>:</w:t>
      </w:r>
    </w:p>
    <w:p w14:paraId="55820F0D" w14:textId="4B0E72CB" w:rsidR="006F4B90" w:rsidRPr="007458AE" w:rsidRDefault="006F4B90" w:rsidP="007458AE">
      <w:pPr>
        <w:pStyle w:val="ListParagraph"/>
        <w:numPr>
          <w:ilvl w:val="1"/>
          <w:numId w:val="1"/>
        </w:numPr>
        <w:ind w:left="851" w:hanging="425"/>
        <w:jc w:val="both"/>
        <w:rPr>
          <w:szCs w:val="24"/>
        </w:rPr>
      </w:pPr>
      <w:r w:rsidRPr="007458AE">
        <w:rPr>
          <w:szCs w:val="24"/>
        </w:rPr>
        <w:t>pacientam tiek izsniegta veidlapa Nr.027/u „Izraksts no stacionārā/ambulatorā pacienta (vajadzīgo pasvītrot) medicīniskās kartes”, kurā norādīta tālākā ārstēšanas taktika, plānotie dinamiskās novērošanas izmeklējumi, nākamās speciālista konsultācijas datums, vieta un laiks, vērtējums par medicīniskās rehabilitācijas nepieciešamību, informācija par zāļu lietošanas kārtību un cita pacienta turpmākai ārstēšanai nozīmīga informācija;</w:t>
      </w:r>
    </w:p>
    <w:p w14:paraId="79884AA6" w14:textId="77777777" w:rsidR="006F4B90" w:rsidRDefault="006F4B90" w:rsidP="007458AE">
      <w:pPr>
        <w:pStyle w:val="ListParagraph"/>
        <w:numPr>
          <w:ilvl w:val="1"/>
          <w:numId w:val="1"/>
        </w:numPr>
        <w:ind w:left="851" w:hanging="425"/>
        <w:jc w:val="both"/>
        <w:rPr>
          <w:szCs w:val="24"/>
        </w:rPr>
      </w:pPr>
      <w:r w:rsidRPr="006F4B90">
        <w:rPr>
          <w:szCs w:val="24"/>
        </w:rPr>
        <w:t>nepieciešamības gadījumā tiek izrakstīta recepte turpmākai ārstēšanai nepieciešamajām zālēm un medicīniskajām ierīcēm;</w:t>
      </w:r>
    </w:p>
    <w:p w14:paraId="7CA4B5D7" w14:textId="77777777" w:rsidR="006F4B90" w:rsidRDefault="006F4B90" w:rsidP="007458AE">
      <w:pPr>
        <w:pStyle w:val="ListParagraph"/>
        <w:numPr>
          <w:ilvl w:val="1"/>
          <w:numId w:val="1"/>
        </w:numPr>
        <w:ind w:left="851" w:hanging="425"/>
        <w:jc w:val="both"/>
        <w:rPr>
          <w:szCs w:val="24"/>
        </w:rPr>
      </w:pPr>
      <w:r w:rsidRPr="006F4B90">
        <w:rPr>
          <w:szCs w:val="24"/>
        </w:rPr>
        <w:t>nepieciešamības gadījumā tiek izrakstīts nosūtījums veselības aprūpei mājās, paliatīvajai aprūpei vai stacionārās palīdzības saņemšanai aprūpes slimnīcā vai nodaļā.</w:t>
      </w:r>
    </w:p>
    <w:p w14:paraId="55E0FCE7" w14:textId="77777777" w:rsidR="00CA47E7" w:rsidRDefault="00CA47E7" w:rsidP="001E0852">
      <w:pPr>
        <w:pStyle w:val="ListParagraph"/>
        <w:ind w:left="2880"/>
        <w:rPr>
          <w:szCs w:val="24"/>
        </w:rPr>
      </w:pPr>
    </w:p>
    <w:p w14:paraId="5E368384" w14:textId="70B1656D" w:rsidR="001E0852" w:rsidRDefault="00BE2F61" w:rsidP="00BE2F61">
      <w:pPr>
        <w:pStyle w:val="ListParagraph"/>
        <w:numPr>
          <w:ilvl w:val="0"/>
          <w:numId w:val="1"/>
        </w:numPr>
        <w:jc w:val="both"/>
        <w:rPr>
          <w:rFonts w:eastAsiaTheme="minorHAnsi"/>
          <w:szCs w:val="24"/>
        </w:rPr>
      </w:pPr>
      <w:r w:rsidRPr="00BE2F61">
        <w:rPr>
          <w:rFonts w:eastAsiaTheme="minorHAnsi"/>
          <w:szCs w:val="24"/>
        </w:rPr>
        <w:t>Veicot saskaņā ar šo Līguma pielikumu sniegto ķirurģisko onkoloģisko pakalpojumu uzskaiti atbilstoši</w:t>
      </w:r>
      <w:r w:rsidR="00AB0197">
        <w:rPr>
          <w:rFonts w:eastAsiaTheme="minorHAnsi"/>
          <w:szCs w:val="24"/>
        </w:rPr>
        <w:t xml:space="preserve"> </w:t>
      </w:r>
      <w:r w:rsidRPr="00BE2F61">
        <w:rPr>
          <w:rFonts w:eastAsiaTheme="minorHAnsi"/>
          <w:szCs w:val="24"/>
        </w:rPr>
        <w:t>Līgum</w:t>
      </w:r>
      <w:r w:rsidRPr="00E12555">
        <w:rPr>
          <w:rFonts w:eastAsiaTheme="minorHAnsi"/>
          <w:szCs w:val="24"/>
        </w:rPr>
        <w:t>a 3.pielikum</w:t>
      </w:r>
      <w:r w:rsidR="00AB0197">
        <w:rPr>
          <w:rFonts w:eastAsiaTheme="minorHAnsi"/>
          <w:szCs w:val="24"/>
        </w:rPr>
        <w:t>ā noteiktajam</w:t>
      </w:r>
      <w:r w:rsidRPr="00E12555">
        <w:rPr>
          <w:rFonts w:eastAsiaTheme="minorHAnsi"/>
          <w:szCs w:val="24"/>
        </w:rPr>
        <w:t xml:space="preserve">, IZPILDĪTĀJS papildus veselības aprūpes organizēšanu un finansēšanu regulējošajos normatīvajos aktos norādītajām manipulācijām, atbilstoši </w:t>
      </w:r>
      <w:proofErr w:type="spellStart"/>
      <w:r w:rsidRPr="00E12555">
        <w:rPr>
          <w:rFonts w:eastAsiaTheme="minorHAnsi"/>
          <w:szCs w:val="24"/>
        </w:rPr>
        <w:t>Clavien-Dindo</w:t>
      </w:r>
      <w:proofErr w:type="spellEnd"/>
      <w:r w:rsidRPr="00E12555">
        <w:rPr>
          <w:rFonts w:eastAsiaTheme="minorHAnsi"/>
          <w:szCs w:val="24"/>
        </w:rPr>
        <w:t>* ķirurģisko komplikāciju smaguma klasifikatoram,</w:t>
      </w:r>
      <w:r w:rsidR="001E0852" w:rsidRPr="00E12555">
        <w:rPr>
          <w:rFonts w:eastAsiaTheme="minorHAnsi"/>
          <w:szCs w:val="24"/>
        </w:rPr>
        <w:t xml:space="preserve"> lieto šādas manipulācijas:</w:t>
      </w:r>
    </w:p>
    <w:tbl>
      <w:tblPr>
        <w:tblStyle w:val="TableGrid"/>
        <w:tblW w:w="8646" w:type="dxa"/>
        <w:tblInd w:w="421" w:type="dxa"/>
        <w:tblLook w:val="04A0" w:firstRow="1" w:lastRow="0" w:firstColumn="1" w:lastColumn="0" w:noHBand="0" w:noVBand="1"/>
      </w:tblPr>
      <w:tblGrid>
        <w:gridCol w:w="789"/>
        <w:gridCol w:w="1479"/>
        <w:gridCol w:w="6378"/>
      </w:tblGrid>
      <w:tr w:rsidR="00CD4665" w14:paraId="06C97E43" w14:textId="77777777" w:rsidTr="00CD4665">
        <w:tc>
          <w:tcPr>
            <w:tcW w:w="789" w:type="dxa"/>
            <w:vAlign w:val="center"/>
          </w:tcPr>
          <w:p w14:paraId="3F83C3BE" w14:textId="77777777" w:rsidR="00CD4665" w:rsidRPr="001E0852" w:rsidRDefault="00CD4665" w:rsidP="00641D9A">
            <w:pPr>
              <w:jc w:val="center"/>
              <w:rPr>
                <w:rFonts w:eastAsiaTheme="minorHAnsi"/>
                <w:b/>
                <w:i/>
                <w:sz w:val="20"/>
                <w:szCs w:val="20"/>
              </w:rPr>
            </w:pPr>
            <w:proofErr w:type="spellStart"/>
            <w:r w:rsidRPr="001E0852">
              <w:rPr>
                <w:rFonts w:eastAsiaTheme="minorHAnsi"/>
                <w:b/>
                <w:i/>
                <w:sz w:val="20"/>
                <w:szCs w:val="20"/>
              </w:rPr>
              <w:t>Nr.p.k</w:t>
            </w:r>
            <w:proofErr w:type="spellEnd"/>
            <w:r w:rsidRPr="001E0852">
              <w:rPr>
                <w:rFonts w:eastAsiaTheme="minorHAnsi"/>
                <w:b/>
                <w:i/>
                <w:sz w:val="20"/>
                <w:szCs w:val="20"/>
              </w:rPr>
              <w:t>.</w:t>
            </w:r>
          </w:p>
        </w:tc>
        <w:tc>
          <w:tcPr>
            <w:tcW w:w="1479" w:type="dxa"/>
            <w:vAlign w:val="center"/>
          </w:tcPr>
          <w:p w14:paraId="3CF9322E" w14:textId="77777777" w:rsidR="00CD4665" w:rsidRPr="001E0852" w:rsidRDefault="00CD4665" w:rsidP="00641D9A">
            <w:pPr>
              <w:jc w:val="center"/>
              <w:rPr>
                <w:rFonts w:eastAsiaTheme="minorHAnsi"/>
                <w:b/>
                <w:i/>
                <w:sz w:val="20"/>
                <w:szCs w:val="20"/>
              </w:rPr>
            </w:pPr>
            <w:r w:rsidRPr="001E0852">
              <w:rPr>
                <w:rFonts w:eastAsiaTheme="minorHAnsi"/>
                <w:b/>
                <w:i/>
                <w:sz w:val="20"/>
                <w:szCs w:val="20"/>
              </w:rPr>
              <w:t>Manipulācijas kods</w:t>
            </w:r>
          </w:p>
        </w:tc>
        <w:tc>
          <w:tcPr>
            <w:tcW w:w="6378" w:type="dxa"/>
            <w:vAlign w:val="center"/>
          </w:tcPr>
          <w:p w14:paraId="3F06E69A" w14:textId="77777777" w:rsidR="00CD4665" w:rsidRPr="001E0852" w:rsidRDefault="00CD4665" w:rsidP="00641D9A">
            <w:pPr>
              <w:jc w:val="center"/>
              <w:rPr>
                <w:rFonts w:eastAsiaTheme="minorHAnsi"/>
                <w:b/>
                <w:i/>
                <w:sz w:val="20"/>
                <w:szCs w:val="20"/>
              </w:rPr>
            </w:pPr>
            <w:r w:rsidRPr="001E0852">
              <w:rPr>
                <w:rFonts w:eastAsiaTheme="minorHAnsi"/>
                <w:b/>
                <w:i/>
                <w:sz w:val="20"/>
                <w:szCs w:val="20"/>
              </w:rPr>
              <w:t>Manipulācijas nosaukums</w:t>
            </w:r>
          </w:p>
        </w:tc>
      </w:tr>
      <w:tr w:rsidR="00CD4665" w14:paraId="4C01BFB7" w14:textId="77777777" w:rsidTr="00CD4665">
        <w:tc>
          <w:tcPr>
            <w:tcW w:w="789" w:type="dxa"/>
            <w:vAlign w:val="center"/>
          </w:tcPr>
          <w:p w14:paraId="7AFD7B6C" w14:textId="77777777" w:rsidR="00CD4665" w:rsidRDefault="00CD4665" w:rsidP="00641D9A">
            <w:pPr>
              <w:jc w:val="center"/>
              <w:rPr>
                <w:rFonts w:eastAsiaTheme="minorHAnsi"/>
                <w:szCs w:val="24"/>
              </w:rPr>
            </w:pPr>
            <w:r>
              <w:rPr>
                <w:rFonts w:eastAsiaTheme="minorHAnsi"/>
                <w:szCs w:val="24"/>
              </w:rPr>
              <w:t>1.</w:t>
            </w:r>
          </w:p>
        </w:tc>
        <w:tc>
          <w:tcPr>
            <w:tcW w:w="1479" w:type="dxa"/>
            <w:vAlign w:val="center"/>
          </w:tcPr>
          <w:p w14:paraId="6974C914" w14:textId="77777777" w:rsidR="00CD4665" w:rsidRDefault="00CD4665" w:rsidP="00641D9A">
            <w:pPr>
              <w:jc w:val="center"/>
              <w:rPr>
                <w:rFonts w:eastAsiaTheme="minorHAnsi"/>
                <w:szCs w:val="24"/>
              </w:rPr>
            </w:pPr>
            <w:r w:rsidRPr="00B21967">
              <w:rPr>
                <w:rFonts w:eastAsiaTheme="minorHAnsi"/>
                <w:szCs w:val="24"/>
              </w:rPr>
              <w:t>60175</w:t>
            </w:r>
          </w:p>
        </w:tc>
        <w:tc>
          <w:tcPr>
            <w:tcW w:w="6378" w:type="dxa"/>
          </w:tcPr>
          <w:p w14:paraId="4053055E" w14:textId="77777777" w:rsidR="00CD4665" w:rsidRDefault="00CD4665" w:rsidP="00CD4665">
            <w:pPr>
              <w:jc w:val="both"/>
              <w:rPr>
                <w:rFonts w:eastAsiaTheme="minorHAnsi"/>
                <w:szCs w:val="24"/>
              </w:rPr>
            </w:pPr>
            <w:r>
              <w:rPr>
                <w:rFonts w:eastAsiaTheme="minorHAnsi"/>
                <w:szCs w:val="24"/>
              </w:rPr>
              <w:t xml:space="preserve">I  </w:t>
            </w:r>
            <w:r w:rsidRPr="00CD4665">
              <w:rPr>
                <w:rFonts w:eastAsiaTheme="minorHAnsi"/>
                <w:i/>
                <w:szCs w:val="24"/>
              </w:rPr>
              <w:t xml:space="preserve">Jebkuri sarežģījumi </w:t>
            </w:r>
            <w:proofErr w:type="spellStart"/>
            <w:r w:rsidRPr="00CD4665">
              <w:rPr>
                <w:rFonts w:eastAsiaTheme="minorHAnsi"/>
                <w:i/>
                <w:szCs w:val="24"/>
              </w:rPr>
              <w:t>pēcoperācijas</w:t>
            </w:r>
            <w:proofErr w:type="spellEnd"/>
            <w:r w:rsidRPr="00CD4665">
              <w:rPr>
                <w:rFonts w:eastAsiaTheme="minorHAnsi"/>
                <w:i/>
                <w:szCs w:val="24"/>
              </w:rPr>
              <w:t xml:space="preserve"> periodā, kam nav nepieciešama specifiska ārstēšana (medikamentoza, </w:t>
            </w:r>
            <w:proofErr w:type="spellStart"/>
            <w:r w:rsidRPr="00CD4665">
              <w:rPr>
                <w:rFonts w:eastAsiaTheme="minorHAnsi"/>
                <w:i/>
                <w:szCs w:val="24"/>
              </w:rPr>
              <w:t>radioloģiska</w:t>
            </w:r>
            <w:proofErr w:type="spellEnd"/>
            <w:r w:rsidRPr="00CD4665">
              <w:rPr>
                <w:rFonts w:eastAsiaTheme="minorHAnsi"/>
                <w:i/>
                <w:szCs w:val="24"/>
              </w:rPr>
              <w:t xml:space="preserve">, </w:t>
            </w:r>
            <w:proofErr w:type="spellStart"/>
            <w:r w:rsidRPr="00CD4665">
              <w:rPr>
                <w:rFonts w:eastAsiaTheme="minorHAnsi"/>
                <w:i/>
                <w:szCs w:val="24"/>
              </w:rPr>
              <w:t>endoskopiska</w:t>
            </w:r>
            <w:proofErr w:type="spellEnd"/>
            <w:r w:rsidRPr="00CD4665">
              <w:rPr>
                <w:rFonts w:eastAsiaTheme="minorHAnsi"/>
                <w:i/>
                <w:szCs w:val="24"/>
              </w:rPr>
              <w:t xml:space="preserve"> iejaukšanās), izņemot </w:t>
            </w:r>
            <w:proofErr w:type="spellStart"/>
            <w:r w:rsidRPr="00CD4665">
              <w:rPr>
                <w:rFonts w:eastAsiaTheme="minorHAnsi"/>
                <w:i/>
                <w:szCs w:val="24"/>
              </w:rPr>
              <w:t>pamatterapiju</w:t>
            </w:r>
            <w:proofErr w:type="spellEnd"/>
            <w:r w:rsidRPr="00CD4665">
              <w:rPr>
                <w:rFonts w:eastAsiaTheme="minorHAnsi"/>
                <w:i/>
                <w:szCs w:val="24"/>
              </w:rPr>
              <w:t xml:space="preserve"> (</w:t>
            </w:r>
            <w:proofErr w:type="spellStart"/>
            <w:r w:rsidRPr="00CD4665">
              <w:rPr>
                <w:rFonts w:eastAsiaTheme="minorHAnsi"/>
                <w:i/>
                <w:szCs w:val="24"/>
              </w:rPr>
              <w:t>antiemētiķi</w:t>
            </w:r>
            <w:proofErr w:type="spellEnd"/>
            <w:r w:rsidRPr="00CD4665">
              <w:rPr>
                <w:rFonts w:eastAsiaTheme="minorHAnsi"/>
                <w:i/>
                <w:szCs w:val="24"/>
              </w:rPr>
              <w:t xml:space="preserve">, </w:t>
            </w:r>
            <w:proofErr w:type="spellStart"/>
            <w:r w:rsidRPr="00CD4665">
              <w:rPr>
                <w:rFonts w:eastAsiaTheme="minorHAnsi"/>
                <w:i/>
                <w:szCs w:val="24"/>
              </w:rPr>
              <w:t>antipirētiķi</w:t>
            </w:r>
            <w:proofErr w:type="spellEnd"/>
            <w:r w:rsidRPr="00CD4665">
              <w:rPr>
                <w:rFonts w:eastAsiaTheme="minorHAnsi"/>
                <w:i/>
                <w:szCs w:val="24"/>
              </w:rPr>
              <w:t xml:space="preserve">, </w:t>
            </w:r>
            <w:proofErr w:type="spellStart"/>
            <w:r w:rsidRPr="00CD4665">
              <w:rPr>
                <w:rFonts w:eastAsiaTheme="minorHAnsi"/>
                <w:i/>
                <w:szCs w:val="24"/>
              </w:rPr>
              <w:t>analgētiķi</w:t>
            </w:r>
            <w:proofErr w:type="spellEnd"/>
            <w:r w:rsidRPr="00CD4665">
              <w:rPr>
                <w:rFonts w:eastAsiaTheme="minorHAnsi"/>
                <w:i/>
                <w:szCs w:val="24"/>
              </w:rPr>
              <w:t xml:space="preserve">, </w:t>
            </w:r>
            <w:proofErr w:type="spellStart"/>
            <w:r w:rsidRPr="00CD4665">
              <w:rPr>
                <w:rFonts w:eastAsiaTheme="minorHAnsi"/>
                <w:i/>
                <w:szCs w:val="24"/>
              </w:rPr>
              <w:t>diurētiķi</w:t>
            </w:r>
            <w:proofErr w:type="spellEnd"/>
            <w:r w:rsidRPr="00CD4665">
              <w:rPr>
                <w:rFonts w:eastAsiaTheme="minorHAnsi"/>
                <w:i/>
                <w:szCs w:val="24"/>
              </w:rPr>
              <w:t>, elektrolīti un fizioterapija). Šajā kategorijā ietilpst arī brūču infekcijas, kam nepieciešama tikai apstrāde pārsiešanu ietvaros (konservatīva terapija)</w:t>
            </w:r>
            <w:r w:rsidRPr="00B21967">
              <w:rPr>
                <w:rFonts w:eastAsiaTheme="minorHAnsi"/>
                <w:szCs w:val="24"/>
              </w:rPr>
              <w:t>.</w:t>
            </w:r>
            <w:r w:rsidRPr="00B21967">
              <w:rPr>
                <w:rFonts w:eastAsiaTheme="minorHAnsi"/>
                <w:szCs w:val="24"/>
              </w:rPr>
              <w:tab/>
            </w:r>
          </w:p>
        </w:tc>
      </w:tr>
      <w:tr w:rsidR="00CD4665" w14:paraId="47DA5AFA" w14:textId="77777777" w:rsidTr="00CD4665">
        <w:tc>
          <w:tcPr>
            <w:tcW w:w="789" w:type="dxa"/>
            <w:vAlign w:val="center"/>
          </w:tcPr>
          <w:p w14:paraId="7A249DC7" w14:textId="77777777" w:rsidR="00CD4665" w:rsidRDefault="00CD4665" w:rsidP="00641D9A">
            <w:pPr>
              <w:jc w:val="center"/>
              <w:rPr>
                <w:rFonts w:eastAsiaTheme="minorHAnsi"/>
                <w:szCs w:val="24"/>
              </w:rPr>
            </w:pPr>
            <w:r>
              <w:rPr>
                <w:rFonts w:eastAsiaTheme="minorHAnsi"/>
                <w:szCs w:val="24"/>
              </w:rPr>
              <w:t>2.</w:t>
            </w:r>
          </w:p>
        </w:tc>
        <w:tc>
          <w:tcPr>
            <w:tcW w:w="1479" w:type="dxa"/>
            <w:vAlign w:val="center"/>
          </w:tcPr>
          <w:p w14:paraId="69C5D460" w14:textId="77777777" w:rsidR="00CD4665" w:rsidRDefault="00CD4665" w:rsidP="00641D9A">
            <w:pPr>
              <w:jc w:val="center"/>
              <w:rPr>
                <w:rFonts w:eastAsiaTheme="minorHAnsi"/>
                <w:szCs w:val="24"/>
              </w:rPr>
            </w:pPr>
            <w:r w:rsidRPr="00B21967">
              <w:rPr>
                <w:rFonts w:eastAsiaTheme="minorHAnsi"/>
                <w:szCs w:val="24"/>
              </w:rPr>
              <w:t>60176</w:t>
            </w:r>
          </w:p>
        </w:tc>
        <w:tc>
          <w:tcPr>
            <w:tcW w:w="6378" w:type="dxa"/>
          </w:tcPr>
          <w:p w14:paraId="65715518" w14:textId="77777777" w:rsidR="00CD4665" w:rsidRDefault="00CD4665" w:rsidP="00CD4665">
            <w:pPr>
              <w:jc w:val="both"/>
              <w:rPr>
                <w:rFonts w:eastAsiaTheme="minorHAnsi"/>
                <w:szCs w:val="24"/>
              </w:rPr>
            </w:pPr>
            <w:r>
              <w:rPr>
                <w:rFonts w:eastAsiaTheme="minorHAnsi"/>
                <w:szCs w:val="24"/>
              </w:rPr>
              <w:t xml:space="preserve">II </w:t>
            </w:r>
            <w:r w:rsidRPr="00CD4665">
              <w:rPr>
                <w:rFonts w:eastAsiaTheme="minorHAnsi"/>
                <w:i/>
                <w:szCs w:val="24"/>
              </w:rPr>
              <w:t xml:space="preserve">Komplikācijas, kam nepieciešama papildus specifiska </w:t>
            </w:r>
            <w:r w:rsidRPr="00CD4665">
              <w:rPr>
                <w:rFonts w:eastAsiaTheme="minorHAnsi"/>
                <w:i/>
                <w:szCs w:val="24"/>
              </w:rPr>
              <w:lastRenderedPageBreak/>
              <w:t xml:space="preserve">medikamentoza ārstēšana paralēli </w:t>
            </w:r>
            <w:proofErr w:type="spellStart"/>
            <w:r w:rsidRPr="00CD4665">
              <w:rPr>
                <w:rFonts w:eastAsiaTheme="minorHAnsi"/>
                <w:i/>
                <w:szCs w:val="24"/>
              </w:rPr>
              <w:t>pamatterapijai</w:t>
            </w:r>
            <w:proofErr w:type="spellEnd"/>
            <w:r w:rsidRPr="00CD4665">
              <w:rPr>
                <w:rFonts w:eastAsiaTheme="minorHAnsi"/>
                <w:i/>
                <w:szCs w:val="24"/>
              </w:rPr>
              <w:t xml:space="preserve">. Iekļauta arī asins pārliešana un </w:t>
            </w:r>
            <w:proofErr w:type="spellStart"/>
            <w:r w:rsidRPr="00CD4665">
              <w:rPr>
                <w:rFonts w:eastAsiaTheme="minorHAnsi"/>
                <w:i/>
                <w:szCs w:val="24"/>
              </w:rPr>
              <w:t>parenterālā</w:t>
            </w:r>
            <w:proofErr w:type="spellEnd"/>
            <w:r w:rsidRPr="00CD4665">
              <w:rPr>
                <w:rFonts w:eastAsiaTheme="minorHAnsi"/>
                <w:i/>
                <w:szCs w:val="24"/>
              </w:rPr>
              <w:t xml:space="preserve"> barošana.</w:t>
            </w:r>
            <w:r w:rsidRPr="00B21967">
              <w:rPr>
                <w:rFonts w:eastAsiaTheme="minorHAnsi"/>
                <w:szCs w:val="24"/>
              </w:rPr>
              <w:t xml:space="preserve"> </w:t>
            </w:r>
            <w:r w:rsidRPr="00B21967">
              <w:rPr>
                <w:rFonts w:eastAsiaTheme="minorHAnsi"/>
                <w:szCs w:val="24"/>
              </w:rPr>
              <w:tab/>
            </w:r>
          </w:p>
        </w:tc>
      </w:tr>
      <w:tr w:rsidR="00CD4665" w14:paraId="52C458F9" w14:textId="77777777" w:rsidTr="00CD4665">
        <w:tc>
          <w:tcPr>
            <w:tcW w:w="789" w:type="dxa"/>
            <w:vMerge w:val="restart"/>
            <w:vAlign w:val="center"/>
          </w:tcPr>
          <w:p w14:paraId="1EE0F9D2" w14:textId="77777777" w:rsidR="00CD4665" w:rsidRDefault="00CD4665" w:rsidP="00641D9A">
            <w:pPr>
              <w:jc w:val="center"/>
              <w:rPr>
                <w:rFonts w:eastAsiaTheme="minorHAnsi"/>
                <w:szCs w:val="24"/>
              </w:rPr>
            </w:pPr>
            <w:r>
              <w:rPr>
                <w:rFonts w:eastAsiaTheme="minorHAnsi"/>
                <w:szCs w:val="24"/>
              </w:rPr>
              <w:lastRenderedPageBreak/>
              <w:t>3.</w:t>
            </w:r>
          </w:p>
        </w:tc>
        <w:tc>
          <w:tcPr>
            <w:tcW w:w="1479" w:type="dxa"/>
            <w:vAlign w:val="center"/>
          </w:tcPr>
          <w:p w14:paraId="37DCAE54" w14:textId="77777777" w:rsidR="00CD4665" w:rsidRDefault="00CD4665" w:rsidP="00641D9A">
            <w:pPr>
              <w:jc w:val="center"/>
              <w:rPr>
                <w:rFonts w:eastAsiaTheme="minorHAnsi"/>
                <w:szCs w:val="24"/>
              </w:rPr>
            </w:pPr>
          </w:p>
        </w:tc>
        <w:tc>
          <w:tcPr>
            <w:tcW w:w="6378" w:type="dxa"/>
          </w:tcPr>
          <w:p w14:paraId="28189978" w14:textId="77777777" w:rsidR="00CD4665" w:rsidRDefault="00CD4665" w:rsidP="00CD4665">
            <w:pPr>
              <w:jc w:val="both"/>
              <w:rPr>
                <w:rFonts w:eastAsiaTheme="minorHAnsi"/>
                <w:szCs w:val="24"/>
              </w:rPr>
            </w:pPr>
            <w:r>
              <w:rPr>
                <w:rFonts w:eastAsiaTheme="minorHAnsi"/>
                <w:szCs w:val="24"/>
              </w:rPr>
              <w:t xml:space="preserve">III </w:t>
            </w:r>
            <w:r w:rsidRPr="00CD4665">
              <w:rPr>
                <w:rFonts w:eastAsiaTheme="minorHAnsi"/>
                <w:i/>
                <w:szCs w:val="24"/>
              </w:rPr>
              <w:t xml:space="preserve">Komplikācijas, kuru ārstēšanai nepieciešama ķirurģiska, </w:t>
            </w:r>
            <w:proofErr w:type="spellStart"/>
            <w:r w:rsidRPr="00CD4665">
              <w:rPr>
                <w:rFonts w:eastAsiaTheme="minorHAnsi"/>
                <w:i/>
                <w:szCs w:val="24"/>
              </w:rPr>
              <w:t>endoskopiska</w:t>
            </w:r>
            <w:proofErr w:type="spellEnd"/>
            <w:r w:rsidRPr="00CD4665">
              <w:rPr>
                <w:rFonts w:eastAsiaTheme="minorHAnsi"/>
                <w:i/>
                <w:szCs w:val="24"/>
              </w:rPr>
              <w:t xml:space="preserve"> vai </w:t>
            </w:r>
            <w:proofErr w:type="spellStart"/>
            <w:r w:rsidRPr="00CD4665">
              <w:rPr>
                <w:rFonts w:eastAsiaTheme="minorHAnsi"/>
                <w:i/>
                <w:szCs w:val="24"/>
              </w:rPr>
              <w:t>radioloģiska</w:t>
            </w:r>
            <w:proofErr w:type="spellEnd"/>
            <w:r w:rsidRPr="00CD4665">
              <w:rPr>
                <w:rFonts w:eastAsiaTheme="minorHAnsi"/>
                <w:i/>
                <w:szCs w:val="24"/>
              </w:rPr>
              <w:t xml:space="preserve"> iejaukšanās:</w:t>
            </w:r>
            <w:r w:rsidRPr="00B21967">
              <w:rPr>
                <w:rFonts w:eastAsiaTheme="minorHAnsi"/>
                <w:szCs w:val="24"/>
              </w:rPr>
              <w:tab/>
            </w:r>
          </w:p>
        </w:tc>
      </w:tr>
      <w:tr w:rsidR="00CD4665" w14:paraId="1E7DD758" w14:textId="77777777" w:rsidTr="00CD4665">
        <w:tc>
          <w:tcPr>
            <w:tcW w:w="789" w:type="dxa"/>
            <w:vMerge/>
            <w:vAlign w:val="center"/>
          </w:tcPr>
          <w:p w14:paraId="51963421" w14:textId="77777777" w:rsidR="00CD4665" w:rsidRDefault="00CD4665" w:rsidP="00641D9A">
            <w:pPr>
              <w:jc w:val="center"/>
              <w:rPr>
                <w:rFonts w:eastAsiaTheme="minorHAnsi"/>
                <w:szCs w:val="24"/>
              </w:rPr>
            </w:pPr>
          </w:p>
        </w:tc>
        <w:tc>
          <w:tcPr>
            <w:tcW w:w="1479" w:type="dxa"/>
            <w:vAlign w:val="center"/>
          </w:tcPr>
          <w:p w14:paraId="0A5AB081" w14:textId="77777777" w:rsidR="00CD4665" w:rsidRDefault="00CD4665" w:rsidP="00641D9A">
            <w:pPr>
              <w:jc w:val="center"/>
              <w:rPr>
                <w:rFonts w:eastAsiaTheme="minorHAnsi"/>
                <w:szCs w:val="24"/>
              </w:rPr>
            </w:pPr>
            <w:r w:rsidRPr="00B21967">
              <w:rPr>
                <w:rFonts w:eastAsiaTheme="minorHAnsi"/>
                <w:szCs w:val="24"/>
              </w:rPr>
              <w:t>60177</w:t>
            </w:r>
          </w:p>
        </w:tc>
        <w:tc>
          <w:tcPr>
            <w:tcW w:w="6378" w:type="dxa"/>
          </w:tcPr>
          <w:p w14:paraId="54320886" w14:textId="5C974184" w:rsidR="00CD4665" w:rsidRDefault="00CD4665" w:rsidP="00CD4665">
            <w:pPr>
              <w:ind w:left="457"/>
              <w:rPr>
                <w:rFonts w:eastAsiaTheme="minorHAnsi"/>
                <w:szCs w:val="24"/>
              </w:rPr>
            </w:pPr>
            <w:proofErr w:type="spellStart"/>
            <w:r>
              <w:rPr>
                <w:rFonts w:eastAsiaTheme="minorHAnsi"/>
                <w:szCs w:val="24"/>
              </w:rPr>
              <w:t>IIIa</w:t>
            </w:r>
            <w:proofErr w:type="spellEnd"/>
            <w:r>
              <w:rPr>
                <w:rFonts w:eastAsiaTheme="minorHAnsi"/>
                <w:szCs w:val="24"/>
              </w:rPr>
              <w:t xml:space="preserve"> </w:t>
            </w:r>
            <w:r w:rsidRPr="00CD4665">
              <w:rPr>
                <w:rFonts w:eastAsiaTheme="minorHAnsi"/>
                <w:i/>
                <w:szCs w:val="24"/>
              </w:rPr>
              <w:t>bez vispārējās narkozes</w:t>
            </w:r>
            <w:r>
              <w:rPr>
                <w:rFonts w:eastAsiaTheme="minorHAnsi"/>
                <w:i/>
                <w:szCs w:val="24"/>
              </w:rPr>
              <w:t>,</w:t>
            </w:r>
          </w:p>
        </w:tc>
      </w:tr>
      <w:tr w:rsidR="00CD4665" w14:paraId="7A693556" w14:textId="77777777" w:rsidTr="00CD4665">
        <w:tc>
          <w:tcPr>
            <w:tcW w:w="789" w:type="dxa"/>
            <w:vMerge/>
            <w:vAlign w:val="center"/>
          </w:tcPr>
          <w:p w14:paraId="5CBB1C90" w14:textId="77777777" w:rsidR="00CD4665" w:rsidRDefault="00CD4665" w:rsidP="00641D9A">
            <w:pPr>
              <w:jc w:val="center"/>
              <w:rPr>
                <w:rFonts w:eastAsiaTheme="minorHAnsi"/>
                <w:szCs w:val="24"/>
              </w:rPr>
            </w:pPr>
          </w:p>
        </w:tc>
        <w:tc>
          <w:tcPr>
            <w:tcW w:w="1479" w:type="dxa"/>
            <w:vAlign w:val="center"/>
          </w:tcPr>
          <w:p w14:paraId="1143B91A" w14:textId="77777777" w:rsidR="00CD4665" w:rsidRDefault="00CD4665" w:rsidP="00641D9A">
            <w:pPr>
              <w:jc w:val="center"/>
              <w:rPr>
                <w:rFonts w:eastAsiaTheme="minorHAnsi"/>
                <w:szCs w:val="24"/>
              </w:rPr>
            </w:pPr>
            <w:r w:rsidRPr="00B21967">
              <w:rPr>
                <w:rFonts w:eastAsiaTheme="minorHAnsi"/>
                <w:szCs w:val="24"/>
              </w:rPr>
              <w:t>60178</w:t>
            </w:r>
          </w:p>
        </w:tc>
        <w:tc>
          <w:tcPr>
            <w:tcW w:w="6378" w:type="dxa"/>
          </w:tcPr>
          <w:p w14:paraId="6E20C66D" w14:textId="31B94F81" w:rsidR="00CD4665" w:rsidRDefault="00CD4665" w:rsidP="00CD4665">
            <w:pPr>
              <w:ind w:left="457"/>
              <w:rPr>
                <w:rFonts w:eastAsiaTheme="minorHAnsi"/>
                <w:szCs w:val="24"/>
              </w:rPr>
            </w:pPr>
            <w:proofErr w:type="spellStart"/>
            <w:r>
              <w:rPr>
                <w:rFonts w:eastAsiaTheme="minorHAnsi"/>
                <w:szCs w:val="24"/>
              </w:rPr>
              <w:t>IIIb</w:t>
            </w:r>
            <w:proofErr w:type="spellEnd"/>
            <w:r>
              <w:rPr>
                <w:rFonts w:eastAsiaTheme="minorHAnsi"/>
                <w:szCs w:val="24"/>
              </w:rPr>
              <w:t xml:space="preserve"> </w:t>
            </w:r>
            <w:r w:rsidRPr="00CD4665">
              <w:rPr>
                <w:rFonts w:eastAsiaTheme="minorHAnsi"/>
                <w:i/>
                <w:szCs w:val="24"/>
              </w:rPr>
              <w:t>vispārējā narkozē</w:t>
            </w:r>
            <w:r>
              <w:rPr>
                <w:rFonts w:eastAsiaTheme="minorHAnsi"/>
                <w:i/>
                <w:szCs w:val="24"/>
              </w:rPr>
              <w:t>.</w:t>
            </w:r>
          </w:p>
        </w:tc>
      </w:tr>
      <w:tr w:rsidR="00CD4665" w14:paraId="7848D023" w14:textId="77777777" w:rsidTr="00CD4665">
        <w:tc>
          <w:tcPr>
            <w:tcW w:w="789" w:type="dxa"/>
            <w:vMerge w:val="restart"/>
            <w:vAlign w:val="center"/>
          </w:tcPr>
          <w:p w14:paraId="31301A41" w14:textId="77777777" w:rsidR="00CD4665" w:rsidRDefault="00CD4665" w:rsidP="00641D9A">
            <w:pPr>
              <w:jc w:val="center"/>
              <w:rPr>
                <w:rFonts w:eastAsiaTheme="minorHAnsi"/>
                <w:szCs w:val="24"/>
              </w:rPr>
            </w:pPr>
            <w:r>
              <w:rPr>
                <w:rFonts w:eastAsiaTheme="minorHAnsi"/>
                <w:szCs w:val="24"/>
              </w:rPr>
              <w:t>4.</w:t>
            </w:r>
          </w:p>
        </w:tc>
        <w:tc>
          <w:tcPr>
            <w:tcW w:w="1479" w:type="dxa"/>
            <w:vAlign w:val="center"/>
          </w:tcPr>
          <w:p w14:paraId="1D6C0CC0" w14:textId="77777777" w:rsidR="00CD4665" w:rsidRDefault="00CD4665" w:rsidP="00641D9A">
            <w:pPr>
              <w:jc w:val="center"/>
              <w:rPr>
                <w:rFonts w:eastAsiaTheme="minorHAnsi"/>
                <w:szCs w:val="24"/>
              </w:rPr>
            </w:pPr>
          </w:p>
        </w:tc>
        <w:tc>
          <w:tcPr>
            <w:tcW w:w="6378" w:type="dxa"/>
          </w:tcPr>
          <w:p w14:paraId="5531F31F" w14:textId="77777777" w:rsidR="00CD4665" w:rsidRDefault="00CD4665" w:rsidP="00CD4665">
            <w:pPr>
              <w:jc w:val="both"/>
              <w:rPr>
                <w:rFonts w:eastAsiaTheme="minorHAnsi"/>
                <w:szCs w:val="24"/>
              </w:rPr>
            </w:pPr>
            <w:r>
              <w:rPr>
                <w:rFonts w:eastAsiaTheme="minorHAnsi"/>
                <w:szCs w:val="24"/>
              </w:rPr>
              <w:t xml:space="preserve">IV </w:t>
            </w:r>
            <w:r w:rsidRPr="00CD4665">
              <w:rPr>
                <w:rFonts w:eastAsiaTheme="minorHAnsi"/>
                <w:i/>
                <w:szCs w:val="24"/>
              </w:rPr>
              <w:t>Dzīvībai bīstamas komplikācijas, indicēta ārstēšanās intensīvās terapijas nodaļā:</w:t>
            </w:r>
            <w:r w:rsidRPr="00B21967">
              <w:rPr>
                <w:rFonts w:eastAsiaTheme="minorHAnsi"/>
                <w:szCs w:val="24"/>
              </w:rPr>
              <w:tab/>
            </w:r>
          </w:p>
        </w:tc>
      </w:tr>
      <w:tr w:rsidR="00CD4665" w14:paraId="53E33B5E" w14:textId="77777777" w:rsidTr="00CD4665">
        <w:tc>
          <w:tcPr>
            <w:tcW w:w="789" w:type="dxa"/>
            <w:vMerge/>
          </w:tcPr>
          <w:p w14:paraId="1C65D3CA" w14:textId="77777777" w:rsidR="00CD4665" w:rsidRDefault="00CD4665" w:rsidP="00641D9A">
            <w:pPr>
              <w:jc w:val="both"/>
              <w:rPr>
                <w:rFonts w:eastAsiaTheme="minorHAnsi"/>
                <w:szCs w:val="24"/>
              </w:rPr>
            </w:pPr>
          </w:p>
        </w:tc>
        <w:tc>
          <w:tcPr>
            <w:tcW w:w="1479" w:type="dxa"/>
            <w:vAlign w:val="center"/>
          </w:tcPr>
          <w:p w14:paraId="097AB6A4" w14:textId="77777777" w:rsidR="00CD4665" w:rsidRDefault="00CD4665" w:rsidP="00641D9A">
            <w:pPr>
              <w:jc w:val="center"/>
              <w:rPr>
                <w:rFonts w:eastAsiaTheme="minorHAnsi"/>
                <w:szCs w:val="24"/>
              </w:rPr>
            </w:pPr>
            <w:r w:rsidRPr="00B21967">
              <w:rPr>
                <w:rFonts w:eastAsiaTheme="minorHAnsi"/>
                <w:szCs w:val="24"/>
              </w:rPr>
              <w:t>60179</w:t>
            </w:r>
          </w:p>
        </w:tc>
        <w:tc>
          <w:tcPr>
            <w:tcW w:w="6378" w:type="dxa"/>
          </w:tcPr>
          <w:p w14:paraId="43BD6547" w14:textId="7ABCCA25" w:rsidR="00CD4665" w:rsidRDefault="00CD4665" w:rsidP="00CD4665">
            <w:pPr>
              <w:ind w:left="457"/>
              <w:rPr>
                <w:rFonts w:eastAsiaTheme="minorHAnsi"/>
                <w:szCs w:val="24"/>
              </w:rPr>
            </w:pPr>
            <w:proofErr w:type="spellStart"/>
            <w:r>
              <w:rPr>
                <w:rFonts w:eastAsiaTheme="minorHAnsi"/>
                <w:szCs w:val="24"/>
              </w:rPr>
              <w:t>IVa</w:t>
            </w:r>
            <w:proofErr w:type="spellEnd"/>
            <w:r>
              <w:rPr>
                <w:rFonts w:eastAsiaTheme="minorHAnsi"/>
                <w:szCs w:val="24"/>
              </w:rPr>
              <w:t xml:space="preserve"> </w:t>
            </w:r>
            <w:r w:rsidRPr="00CD4665">
              <w:rPr>
                <w:rFonts w:eastAsiaTheme="minorHAnsi"/>
                <w:i/>
                <w:szCs w:val="24"/>
              </w:rPr>
              <w:t>viena orgāna disfunkcija</w:t>
            </w:r>
            <w:r>
              <w:rPr>
                <w:rFonts w:eastAsiaTheme="minorHAnsi"/>
                <w:i/>
                <w:szCs w:val="24"/>
              </w:rPr>
              <w:t>,</w:t>
            </w:r>
          </w:p>
        </w:tc>
      </w:tr>
      <w:tr w:rsidR="00CD4665" w14:paraId="409F93AF" w14:textId="77777777" w:rsidTr="00CD4665">
        <w:tc>
          <w:tcPr>
            <w:tcW w:w="789" w:type="dxa"/>
            <w:vMerge/>
          </w:tcPr>
          <w:p w14:paraId="4F69788A" w14:textId="77777777" w:rsidR="00CD4665" w:rsidRDefault="00CD4665" w:rsidP="00641D9A">
            <w:pPr>
              <w:jc w:val="both"/>
              <w:rPr>
                <w:rFonts w:eastAsiaTheme="minorHAnsi"/>
                <w:szCs w:val="24"/>
              </w:rPr>
            </w:pPr>
          </w:p>
        </w:tc>
        <w:tc>
          <w:tcPr>
            <w:tcW w:w="1479" w:type="dxa"/>
            <w:vAlign w:val="center"/>
          </w:tcPr>
          <w:p w14:paraId="1C42157C" w14:textId="77777777" w:rsidR="00CD4665" w:rsidRDefault="00CD4665" w:rsidP="00641D9A">
            <w:pPr>
              <w:jc w:val="center"/>
              <w:rPr>
                <w:rFonts w:eastAsiaTheme="minorHAnsi"/>
                <w:szCs w:val="24"/>
              </w:rPr>
            </w:pPr>
            <w:r w:rsidRPr="00B21967">
              <w:rPr>
                <w:rFonts w:eastAsiaTheme="minorHAnsi"/>
                <w:szCs w:val="24"/>
              </w:rPr>
              <w:t>60180</w:t>
            </w:r>
          </w:p>
        </w:tc>
        <w:tc>
          <w:tcPr>
            <w:tcW w:w="6378" w:type="dxa"/>
          </w:tcPr>
          <w:p w14:paraId="2E3EF73C" w14:textId="37A3DB70" w:rsidR="00CD4665" w:rsidRDefault="00CD4665" w:rsidP="00CD4665">
            <w:pPr>
              <w:ind w:left="457"/>
              <w:rPr>
                <w:rFonts w:eastAsiaTheme="minorHAnsi"/>
                <w:szCs w:val="24"/>
              </w:rPr>
            </w:pPr>
            <w:proofErr w:type="spellStart"/>
            <w:r>
              <w:rPr>
                <w:rFonts w:eastAsiaTheme="minorHAnsi"/>
                <w:szCs w:val="24"/>
              </w:rPr>
              <w:t>IVb</w:t>
            </w:r>
            <w:proofErr w:type="spellEnd"/>
            <w:r>
              <w:rPr>
                <w:rFonts w:eastAsiaTheme="minorHAnsi"/>
                <w:szCs w:val="24"/>
              </w:rPr>
              <w:t xml:space="preserve"> </w:t>
            </w:r>
            <w:r w:rsidRPr="00CD4665">
              <w:rPr>
                <w:rFonts w:eastAsiaTheme="minorHAnsi"/>
                <w:i/>
                <w:szCs w:val="24"/>
              </w:rPr>
              <w:t>vairāku orgānu disfunkcija</w:t>
            </w:r>
            <w:r>
              <w:rPr>
                <w:rFonts w:eastAsiaTheme="minorHAnsi"/>
                <w:i/>
                <w:szCs w:val="24"/>
              </w:rPr>
              <w:t>.</w:t>
            </w:r>
          </w:p>
        </w:tc>
      </w:tr>
      <w:tr w:rsidR="0090531F" w14:paraId="1052367B" w14:textId="77777777" w:rsidTr="00CD4665">
        <w:tc>
          <w:tcPr>
            <w:tcW w:w="789" w:type="dxa"/>
          </w:tcPr>
          <w:p w14:paraId="3DCD51BD" w14:textId="635C9998" w:rsidR="0090531F" w:rsidRDefault="0090531F" w:rsidP="00641D9A">
            <w:pPr>
              <w:jc w:val="both"/>
              <w:rPr>
                <w:rFonts w:eastAsiaTheme="minorHAnsi"/>
                <w:szCs w:val="24"/>
              </w:rPr>
            </w:pPr>
            <w:r>
              <w:rPr>
                <w:rFonts w:eastAsiaTheme="minorHAnsi"/>
                <w:szCs w:val="24"/>
              </w:rPr>
              <w:t>5.</w:t>
            </w:r>
          </w:p>
        </w:tc>
        <w:tc>
          <w:tcPr>
            <w:tcW w:w="1479" w:type="dxa"/>
            <w:vAlign w:val="center"/>
          </w:tcPr>
          <w:p w14:paraId="08C58FD6" w14:textId="5208CB55" w:rsidR="0090531F" w:rsidRPr="00B21967" w:rsidRDefault="0090531F" w:rsidP="00641D9A">
            <w:pPr>
              <w:jc w:val="center"/>
              <w:rPr>
                <w:rFonts w:eastAsiaTheme="minorHAnsi"/>
                <w:szCs w:val="24"/>
              </w:rPr>
            </w:pPr>
            <w:r>
              <w:rPr>
                <w:rFonts w:eastAsiaTheme="minorHAnsi"/>
                <w:szCs w:val="24"/>
              </w:rPr>
              <w:t>60174</w:t>
            </w:r>
          </w:p>
        </w:tc>
        <w:tc>
          <w:tcPr>
            <w:tcW w:w="6378" w:type="dxa"/>
          </w:tcPr>
          <w:p w14:paraId="1E2BC5DB" w14:textId="7831C35F" w:rsidR="0090531F" w:rsidRDefault="0090531F" w:rsidP="0090531F">
            <w:pPr>
              <w:rPr>
                <w:rFonts w:eastAsiaTheme="minorHAnsi"/>
                <w:szCs w:val="24"/>
              </w:rPr>
            </w:pPr>
            <w:proofErr w:type="spellStart"/>
            <w:r w:rsidRPr="00A61735">
              <w:rPr>
                <w:i/>
              </w:rPr>
              <w:t>Pēcoperācijas</w:t>
            </w:r>
            <w:proofErr w:type="spellEnd"/>
            <w:r w:rsidRPr="00A61735">
              <w:rPr>
                <w:i/>
              </w:rPr>
              <w:t xml:space="preserve"> periods bez sarežģījumiem</w:t>
            </w:r>
          </w:p>
        </w:tc>
      </w:tr>
    </w:tbl>
    <w:p w14:paraId="1CD7CD6D" w14:textId="5D14613E" w:rsidR="00BE2F61" w:rsidRPr="00BE2F61" w:rsidRDefault="00BE2F61" w:rsidP="00BE2F61">
      <w:pPr>
        <w:widowControl/>
        <w:ind w:left="567" w:hanging="141"/>
        <w:jc w:val="both"/>
        <w:rPr>
          <w:sz w:val="18"/>
          <w:szCs w:val="18"/>
        </w:rPr>
      </w:pPr>
      <w:r w:rsidRPr="00BE2F61">
        <w:rPr>
          <w:i/>
          <w:szCs w:val="24"/>
        </w:rPr>
        <w:t>*</w:t>
      </w:r>
      <w:r w:rsidRPr="00751CB5">
        <w:rPr>
          <w:i/>
          <w:szCs w:val="24"/>
        </w:rPr>
        <w:tab/>
      </w:r>
      <w:r w:rsidRPr="00BE2F61">
        <w:rPr>
          <w:i/>
          <w:sz w:val="18"/>
          <w:szCs w:val="18"/>
        </w:rPr>
        <w:t xml:space="preserve">Daniel </w:t>
      </w:r>
      <w:proofErr w:type="spellStart"/>
      <w:r w:rsidRPr="00BE2F61">
        <w:rPr>
          <w:i/>
          <w:sz w:val="18"/>
          <w:szCs w:val="18"/>
        </w:rPr>
        <w:t>Dindo</w:t>
      </w:r>
      <w:proofErr w:type="spellEnd"/>
      <w:r w:rsidRPr="00BE2F61">
        <w:rPr>
          <w:i/>
          <w:sz w:val="18"/>
          <w:szCs w:val="18"/>
        </w:rPr>
        <w:t xml:space="preserve">, </w:t>
      </w:r>
      <w:proofErr w:type="spellStart"/>
      <w:r w:rsidRPr="00BE2F61">
        <w:rPr>
          <w:i/>
          <w:sz w:val="18"/>
          <w:szCs w:val="18"/>
        </w:rPr>
        <w:t>Nicolas</w:t>
      </w:r>
      <w:proofErr w:type="spellEnd"/>
      <w:r w:rsidRPr="00BE2F61">
        <w:rPr>
          <w:i/>
          <w:sz w:val="18"/>
          <w:szCs w:val="18"/>
        </w:rPr>
        <w:t xml:space="preserve"> </w:t>
      </w:r>
      <w:proofErr w:type="spellStart"/>
      <w:r w:rsidRPr="00BE2F61">
        <w:rPr>
          <w:i/>
          <w:sz w:val="18"/>
          <w:szCs w:val="18"/>
        </w:rPr>
        <w:t>Demartines</w:t>
      </w:r>
      <w:proofErr w:type="spellEnd"/>
      <w:r w:rsidRPr="00BE2F61">
        <w:rPr>
          <w:i/>
          <w:sz w:val="18"/>
          <w:szCs w:val="18"/>
        </w:rPr>
        <w:t xml:space="preserve">, </w:t>
      </w:r>
      <w:proofErr w:type="spellStart"/>
      <w:r w:rsidRPr="00BE2F61">
        <w:rPr>
          <w:i/>
          <w:sz w:val="18"/>
          <w:szCs w:val="18"/>
        </w:rPr>
        <w:t>and</w:t>
      </w:r>
      <w:proofErr w:type="spellEnd"/>
      <w:r w:rsidRPr="00BE2F61">
        <w:rPr>
          <w:i/>
          <w:sz w:val="18"/>
          <w:szCs w:val="18"/>
        </w:rPr>
        <w:t xml:space="preserve"> Pierre-</w:t>
      </w:r>
      <w:proofErr w:type="spellStart"/>
      <w:r w:rsidRPr="00BE2F61">
        <w:rPr>
          <w:i/>
          <w:sz w:val="18"/>
          <w:szCs w:val="18"/>
        </w:rPr>
        <w:t>Alain</w:t>
      </w:r>
      <w:proofErr w:type="spellEnd"/>
      <w:r w:rsidRPr="00BE2F61">
        <w:rPr>
          <w:i/>
          <w:sz w:val="18"/>
          <w:szCs w:val="18"/>
        </w:rPr>
        <w:t xml:space="preserve"> </w:t>
      </w:r>
      <w:proofErr w:type="spellStart"/>
      <w:r w:rsidRPr="00BE2F61">
        <w:rPr>
          <w:i/>
          <w:sz w:val="18"/>
          <w:szCs w:val="18"/>
        </w:rPr>
        <w:t>Clavien</w:t>
      </w:r>
      <w:proofErr w:type="spellEnd"/>
      <w:r w:rsidRPr="00BE2F61">
        <w:rPr>
          <w:i/>
          <w:sz w:val="18"/>
          <w:szCs w:val="18"/>
        </w:rPr>
        <w:t xml:space="preserve">. 2004. </w:t>
      </w:r>
      <w:proofErr w:type="spellStart"/>
      <w:r w:rsidRPr="00BE2F61">
        <w:rPr>
          <w:i/>
          <w:sz w:val="18"/>
          <w:szCs w:val="18"/>
        </w:rPr>
        <w:t>Classification</w:t>
      </w:r>
      <w:proofErr w:type="spellEnd"/>
      <w:r w:rsidRPr="00BE2F61">
        <w:rPr>
          <w:i/>
          <w:sz w:val="18"/>
          <w:szCs w:val="18"/>
        </w:rPr>
        <w:t xml:space="preserve"> </w:t>
      </w:r>
      <w:proofErr w:type="spellStart"/>
      <w:r w:rsidRPr="00BE2F61">
        <w:rPr>
          <w:i/>
          <w:sz w:val="18"/>
          <w:szCs w:val="18"/>
        </w:rPr>
        <w:t>of</w:t>
      </w:r>
      <w:proofErr w:type="spellEnd"/>
      <w:r w:rsidRPr="00BE2F61">
        <w:rPr>
          <w:i/>
          <w:sz w:val="18"/>
          <w:szCs w:val="18"/>
        </w:rPr>
        <w:t xml:space="preserve"> </w:t>
      </w:r>
      <w:proofErr w:type="spellStart"/>
      <w:r w:rsidRPr="00BE2F61">
        <w:rPr>
          <w:i/>
          <w:sz w:val="18"/>
          <w:szCs w:val="18"/>
        </w:rPr>
        <w:t>Surgical</w:t>
      </w:r>
      <w:proofErr w:type="spellEnd"/>
      <w:r w:rsidRPr="00BE2F61">
        <w:rPr>
          <w:i/>
          <w:sz w:val="18"/>
          <w:szCs w:val="18"/>
        </w:rPr>
        <w:t xml:space="preserve"> </w:t>
      </w:r>
      <w:proofErr w:type="spellStart"/>
      <w:r w:rsidRPr="00BE2F61">
        <w:rPr>
          <w:i/>
          <w:sz w:val="18"/>
          <w:szCs w:val="18"/>
        </w:rPr>
        <w:t>Complications</w:t>
      </w:r>
      <w:proofErr w:type="spellEnd"/>
      <w:r w:rsidRPr="00BE2F61">
        <w:rPr>
          <w:i/>
          <w:sz w:val="18"/>
          <w:szCs w:val="18"/>
        </w:rPr>
        <w:t xml:space="preserve">. A </w:t>
      </w:r>
      <w:proofErr w:type="spellStart"/>
      <w:r w:rsidRPr="00BE2F61">
        <w:rPr>
          <w:i/>
          <w:sz w:val="18"/>
          <w:szCs w:val="18"/>
        </w:rPr>
        <w:t>New</w:t>
      </w:r>
      <w:proofErr w:type="spellEnd"/>
      <w:r w:rsidRPr="00BE2F61">
        <w:rPr>
          <w:i/>
          <w:sz w:val="18"/>
          <w:szCs w:val="18"/>
        </w:rPr>
        <w:t xml:space="preserve"> </w:t>
      </w:r>
      <w:proofErr w:type="spellStart"/>
      <w:r w:rsidRPr="00BE2F61">
        <w:rPr>
          <w:i/>
          <w:sz w:val="18"/>
          <w:szCs w:val="18"/>
        </w:rPr>
        <w:t>Proposal</w:t>
      </w:r>
      <w:proofErr w:type="spellEnd"/>
      <w:r w:rsidRPr="00BE2F61">
        <w:rPr>
          <w:i/>
          <w:sz w:val="18"/>
          <w:szCs w:val="18"/>
        </w:rPr>
        <w:t xml:space="preserve"> </w:t>
      </w:r>
      <w:proofErr w:type="spellStart"/>
      <w:r w:rsidRPr="00BE2F61">
        <w:rPr>
          <w:i/>
          <w:sz w:val="18"/>
          <w:szCs w:val="18"/>
        </w:rPr>
        <w:t>With</w:t>
      </w:r>
      <w:proofErr w:type="spellEnd"/>
      <w:r w:rsidRPr="00BE2F61">
        <w:rPr>
          <w:i/>
          <w:sz w:val="18"/>
          <w:szCs w:val="18"/>
        </w:rPr>
        <w:t xml:space="preserve"> </w:t>
      </w:r>
      <w:proofErr w:type="spellStart"/>
      <w:r w:rsidRPr="00BE2F61">
        <w:rPr>
          <w:i/>
          <w:sz w:val="18"/>
          <w:szCs w:val="18"/>
        </w:rPr>
        <w:t>Evaluation</w:t>
      </w:r>
      <w:proofErr w:type="spellEnd"/>
      <w:r w:rsidRPr="00BE2F61">
        <w:rPr>
          <w:i/>
          <w:sz w:val="18"/>
          <w:szCs w:val="18"/>
        </w:rPr>
        <w:t xml:space="preserve"> </w:t>
      </w:r>
      <w:proofErr w:type="spellStart"/>
      <w:r w:rsidRPr="00BE2F61">
        <w:rPr>
          <w:i/>
          <w:sz w:val="18"/>
          <w:szCs w:val="18"/>
        </w:rPr>
        <w:t>in</w:t>
      </w:r>
      <w:proofErr w:type="spellEnd"/>
      <w:r w:rsidRPr="00BE2F61">
        <w:rPr>
          <w:i/>
          <w:sz w:val="18"/>
          <w:szCs w:val="18"/>
        </w:rPr>
        <w:t xml:space="preserve"> a </w:t>
      </w:r>
      <w:proofErr w:type="spellStart"/>
      <w:r w:rsidRPr="00BE2F61">
        <w:rPr>
          <w:i/>
          <w:sz w:val="18"/>
          <w:szCs w:val="18"/>
        </w:rPr>
        <w:t>Cohort</w:t>
      </w:r>
      <w:proofErr w:type="spellEnd"/>
      <w:r w:rsidRPr="00BE2F61">
        <w:rPr>
          <w:i/>
          <w:sz w:val="18"/>
          <w:szCs w:val="18"/>
        </w:rPr>
        <w:t xml:space="preserve"> </w:t>
      </w:r>
      <w:proofErr w:type="spellStart"/>
      <w:r w:rsidRPr="00BE2F61">
        <w:rPr>
          <w:i/>
          <w:sz w:val="18"/>
          <w:szCs w:val="18"/>
        </w:rPr>
        <w:t>of</w:t>
      </w:r>
      <w:proofErr w:type="spellEnd"/>
      <w:r w:rsidRPr="00BE2F61">
        <w:rPr>
          <w:i/>
          <w:sz w:val="18"/>
          <w:szCs w:val="18"/>
        </w:rPr>
        <w:t xml:space="preserve"> 6336 </w:t>
      </w:r>
      <w:proofErr w:type="spellStart"/>
      <w:r w:rsidRPr="00BE2F61">
        <w:rPr>
          <w:i/>
          <w:sz w:val="18"/>
          <w:szCs w:val="18"/>
        </w:rPr>
        <w:t>Patients</w:t>
      </w:r>
      <w:proofErr w:type="spellEnd"/>
      <w:r w:rsidRPr="00BE2F61">
        <w:rPr>
          <w:i/>
          <w:sz w:val="18"/>
          <w:szCs w:val="18"/>
        </w:rPr>
        <w:t xml:space="preserve"> </w:t>
      </w:r>
      <w:proofErr w:type="spellStart"/>
      <w:r w:rsidRPr="00BE2F61">
        <w:rPr>
          <w:i/>
          <w:sz w:val="18"/>
          <w:szCs w:val="18"/>
        </w:rPr>
        <w:t>and</w:t>
      </w:r>
      <w:proofErr w:type="spellEnd"/>
      <w:r w:rsidRPr="00BE2F61">
        <w:rPr>
          <w:i/>
          <w:sz w:val="18"/>
          <w:szCs w:val="18"/>
        </w:rPr>
        <w:t xml:space="preserve"> </w:t>
      </w:r>
      <w:proofErr w:type="spellStart"/>
      <w:r w:rsidRPr="00BE2F61">
        <w:rPr>
          <w:i/>
          <w:sz w:val="18"/>
          <w:szCs w:val="18"/>
        </w:rPr>
        <w:t>Results</w:t>
      </w:r>
      <w:proofErr w:type="spellEnd"/>
      <w:r w:rsidRPr="00BE2F61">
        <w:rPr>
          <w:i/>
          <w:sz w:val="18"/>
          <w:szCs w:val="18"/>
        </w:rPr>
        <w:t xml:space="preserve"> </w:t>
      </w:r>
      <w:proofErr w:type="spellStart"/>
      <w:r w:rsidRPr="00BE2F61">
        <w:rPr>
          <w:i/>
          <w:sz w:val="18"/>
          <w:szCs w:val="18"/>
        </w:rPr>
        <w:t>of</w:t>
      </w:r>
      <w:proofErr w:type="spellEnd"/>
      <w:r w:rsidRPr="00BE2F61">
        <w:rPr>
          <w:i/>
          <w:sz w:val="18"/>
          <w:szCs w:val="18"/>
        </w:rPr>
        <w:t xml:space="preserve"> a </w:t>
      </w:r>
      <w:proofErr w:type="spellStart"/>
      <w:r w:rsidRPr="00BE2F61">
        <w:rPr>
          <w:i/>
          <w:sz w:val="18"/>
          <w:szCs w:val="18"/>
        </w:rPr>
        <w:t>Survey</w:t>
      </w:r>
      <w:proofErr w:type="spellEnd"/>
      <w:r w:rsidRPr="00BE2F61">
        <w:rPr>
          <w:i/>
          <w:sz w:val="18"/>
          <w:szCs w:val="18"/>
        </w:rPr>
        <w:t xml:space="preserve">. </w:t>
      </w:r>
      <w:proofErr w:type="spellStart"/>
      <w:r w:rsidRPr="00BE2F61">
        <w:rPr>
          <w:i/>
          <w:iCs/>
          <w:sz w:val="18"/>
          <w:szCs w:val="18"/>
        </w:rPr>
        <w:t>Annals</w:t>
      </w:r>
      <w:proofErr w:type="spellEnd"/>
      <w:r w:rsidRPr="00BE2F61">
        <w:rPr>
          <w:i/>
          <w:iCs/>
          <w:sz w:val="18"/>
          <w:szCs w:val="18"/>
        </w:rPr>
        <w:t xml:space="preserve"> </w:t>
      </w:r>
      <w:proofErr w:type="spellStart"/>
      <w:r w:rsidRPr="00BE2F61">
        <w:rPr>
          <w:i/>
          <w:iCs/>
          <w:sz w:val="18"/>
          <w:szCs w:val="18"/>
        </w:rPr>
        <w:t>of</w:t>
      </w:r>
      <w:proofErr w:type="spellEnd"/>
      <w:r w:rsidRPr="00BE2F61">
        <w:rPr>
          <w:i/>
          <w:iCs/>
          <w:sz w:val="18"/>
          <w:szCs w:val="18"/>
        </w:rPr>
        <w:t xml:space="preserve"> </w:t>
      </w:r>
      <w:proofErr w:type="spellStart"/>
      <w:r w:rsidRPr="00BE2F61">
        <w:rPr>
          <w:i/>
          <w:iCs/>
          <w:sz w:val="18"/>
          <w:szCs w:val="18"/>
        </w:rPr>
        <w:t>Surgery</w:t>
      </w:r>
      <w:proofErr w:type="spellEnd"/>
      <w:r w:rsidRPr="00BE2F61">
        <w:rPr>
          <w:i/>
          <w:sz w:val="18"/>
          <w:szCs w:val="18"/>
        </w:rPr>
        <w:t>.</w:t>
      </w:r>
      <w:r w:rsidRPr="00BE2F61">
        <w:rPr>
          <w:i/>
          <w:sz w:val="22"/>
        </w:rPr>
        <w:t xml:space="preserve"> </w:t>
      </w:r>
      <w:r w:rsidRPr="00BE2F61">
        <w:rPr>
          <w:i/>
          <w:sz w:val="18"/>
          <w:szCs w:val="18"/>
        </w:rPr>
        <w:t>Aug; 240(2): 205–</w:t>
      </w:r>
      <w:r w:rsidRPr="00BE2F61">
        <w:rPr>
          <w:sz w:val="18"/>
          <w:szCs w:val="18"/>
        </w:rPr>
        <w:t>213.</w:t>
      </w:r>
    </w:p>
    <w:p w14:paraId="0FD21E36" w14:textId="337E4D69" w:rsidR="001E0852" w:rsidRPr="001E0852" w:rsidRDefault="001E0852" w:rsidP="001E0852">
      <w:pPr>
        <w:jc w:val="both"/>
        <w:rPr>
          <w:rFonts w:eastAsiaTheme="minorHAnsi"/>
          <w:szCs w:val="24"/>
        </w:rPr>
      </w:pPr>
    </w:p>
    <w:p w14:paraId="3353173D" w14:textId="0C576533" w:rsidR="006F4B90" w:rsidRPr="005B0CC3" w:rsidRDefault="006F4B90" w:rsidP="006F4B90">
      <w:pPr>
        <w:pStyle w:val="ListParagraph"/>
        <w:numPr>
          <w:ilvl w:val="0"/>
          <w:numId w:val="1"/>
        </w:numPr>
        <w:ind w:left="426" w:hanging="426"/>
        <w:jc w:val="both"/>
        <w:rPr>
          <w:rFonts w:eastAsiaTheme="minorHAnsi"/>
          <w:szCs w:val="24"/>
        </w:rPr>
      </w:pPr>
      <w:r>
        <w:rPr>
          <w:szCs w:val="24"/>
        </w:rPr>
        <w:t xml:space="preserve">Atbilstoši </w:t>
      </w:r>
      <w:r>
        <w:t xml:space="preserve">2017.gada </w:t>
      </w:r>
      <w:r>
        <w:rPr>
          <w:rFonts w:eastAsia="Times New Roman"/>
          <w:szCs w:val="24"/>
        </w:rPr>
        <w:t>ķirurģisko onkoloģisko</w:t>
      </w:r>
      <w:r>
        <w:t xml:space="preserve"> </w:t>
      </w:r>
      <w:r w:rsidRPr="0035029B">
        <w:t>pakalpojumu snied</w:t>
      </w:r>
      <w:r>
        <w:t>zēju atlases procedūras nolikumam</w:t>
      </w:r>
      <w:r w:rsidRPr="00261646">
        <w:rPr>
          <w:szCs w:val="24"/>
        </w:rPr>
        <w:t xml:space="preserve"> DIENESTS:</w:t>
      </w:r>
    </w:p>
    <w:p w14:paraId="15AF5987" w14:textId="5AFEA5B2" w:rsidR="006F4B90" w:rsidRPr="005B0CC3" w:rsidRDefault="006F4B90" w:rsidP="006F4B90">
      <w:pPr>
        <w:pStyle w:val="ListParagraph"/>
        <w:numPr>
          <w:ilvl w:val="1"/>
          <w:numId w:val="1"/>
        </w:numPr>
        <w:ind w:left="993" w:hanging="567"/>
        <w:jc w:val="both"/>
        <w:rPr>
          <w:rFonts w:eastAsiaTheme="minorHAnsi"/>
          <w:szCs w:val="24"/>
        </w:rPr>
      </w:pPr>
      <w:r w:rsidRPr="005B0CC3">
        <w:rPr>
          <w:szCs w:val="24"/>
        </w:rPr>
        <w:t xml:space="preserve">attiecībā uz minēto veselības aprūpes pakalpojumu vērtē IZPILDĪTĀJA darbības kvalitāti vienu reizi gadā (pirmo reizi - pēc pilna gada) atbilstoši </w:t>
      </w:r>
      <w:r w:rsidR="008D396A" w:rsidRPr="00A86DC7">
        <w:rPr>
          <w:rFonts w:eastAsia="Times New Roman"/>
          <w:szCs w:val="24"/>
        </w:rPr>
        <w:t xml:space="preserve">DIENESTA </w:t>
      </w:r>
      <w:r w:rsidR="008D396A">
        <w:rPr>
          <w:rFonts w:eastAsia="Times New Roman"/>
          <w:szCs w:val="24"/>
        </w:rPr>
        <w:t>tīmekļvietnē</w:t>
      </w:r>
      <w:r w:rsidR="008D396A" w:rsidRPr="00A86DC7">
        <w:rPr>
          <w:rFonts w:eastAsia="Times New Roman"/>
          <w:szCs w:val="24"/>
        </w:rPr>
        <w:t xml:space="preserve"> </w:t>
      </w:r>
      <w:hyperlink r:id="rId7" w:history="1">
        <w:r w:rsidR="008D396A" w:rsidRPr="00A86DC7">
          <w:rPr>
            <w:rFonts w:eastAsia="Times New Roman"/>
            <w:color w:val="0000FF"/>
            <w:szCs w:val="24"/>
            <w:u w:val="single"/>
          </w:rPr>
          <w:t>www.vmnvd.gov.lv</w:t>
        </w:r>
      </w:hyperlink>
      <w:r w:rsidR="008D396A" w:rsidRPr="00A86DC7">
        <w:rPr>
          <w:rFonts w:eastAsia="Times New Roman"/>
          <w:szCs w:val="24"/>
        </w:rPr>
        <w:t xml:space="preserve"> sadaļā „Līgumpartneriem”</w:t>
      </w:r>
      <w:r w:rsidRPr="005B0CC3">
        <w:rPr>
          <w:szCs w:val="24"/>
        </w:rPr>
        <w:t xml:space="preserve"> norādītajā dokumentā </w:t>
      </w:r>
      <w:r w:rsidR="008D396A" w:rsidRPr="008D396A">
        <w:rPr>
          <w:szCs w:val="24"/>
        </w:rPr>
        <w:t>“</w:t>
      </w:r>
      <w:hyperlink r:id="rId8" w:history="1">
        <w:r w:rsidR="008D396A" w:rsidRPr="008D396A">
          <w:rPr>
            <w:rStyle w:val="Hyperlink"/>
            <w:color w:val="auto"/>
            <w:u w:val="none"/>
          </w:rPr>
          <w:t>Plānveida stacionāro onkoloģisko pakalpojumu sniedzēju darbības vērtēšanas kritēriji</w:t>
        </w:r>
      </w:hyperlink>
      <w:r w:rsidR="008D396A" w:rsidRPr="008D396A">
        <w:t xml:space="preserve">” </w:t>
      </w:r>
      <w:r w:rsidRPr="005B0CC3">
        <w:rPr>
          <w:szCs w:val="24"/>
        </w:rPr>
        <w:t>ietvertajiem kritērijiem;</w:t>
      </w:r>
    </w:p>
    <w:p w14:paraId="030A45C5" w14:textId="510EBD2A" w:rsidR="006F4B90" w:rsidRPr="006F4B90" w:rsidRDefault="006F4B90" w:rsidP="006F4B90">
      <w:pPr>
        <w:pStyle w:val="ListParagraph"/>
        <w:numPr>
          <w:ilvl w:val="1"/>
          <w:numId w:val="1"/>
        </w:numPr>
        <w:ind w:left="993" w:hanging="567"/>
        <w:jc w:val="both"/>
        <w:rPr>
          <w:rFonts w:eastAsiaTheme="minorHAnsi"/>
          <w:szCs w:val="24"/>
        </w:rPr>
      </w:pPr>
      <w:r w:rsidRPr="005B0CC3">
        <w:rPr>
          <w:szCs w:val="24"/>
        </w:rPr>
        <w:t>atbilstoši veiktajam darbības kvalitātes vērtējumam ir tiesīgs pārskatīt L</w:t>
      </w:r>
      <w:r>
        <w:rPr>
          <w:szCs w:val="24"/>
        </w:rPr>
        <w:t>īguma</w:t>
      </w:r>
      <w:r w:rsidRPr="005B0CC3">
        <w:rPr>
          <w:szCs w:val="24"/>
        </w:rPr>
        <w:t xml:space="preserve"> nosacījumus vai izbeigt L</w:t>
      </w:r>
      <w:r>
        <w:rPr>
          <w:szCs w:val="24"/>
        </w:rPr>
        <w:t>īgumu</w:t>
      </w:r>
      <w:r w:rsidRPr="005B0CC3">
        <w:rPr>
          <w:szCs w:val="24"/>
        </w:rPr>
        <w:t xml:space="preserve"> pirms termiņa par </w:t>
      </w:r>
      <w:r>
        <w:rPr>
          <w:rFonts w:eastAsia="Times New Roman"/>
          <w:szCs w:val="24"/>
        </w:rPr>
        <w:t>ķirurģisko onkoloģisko</w:t>
      </w:r>
      <w:r>
        <w:t xml:space="preserve"> pakalpojumu</w:t>
      </w:r>
      <w:r w:rsidR="005D60AA">
        <w:t>,</w:t>
      </w:r>
      <w:r w:rsidRPr="005B0CC3">
        <w:rPr>
          <w:szCs w:val="24"/>
        </w:rPr>
        <w:t xml:space="preserve"> </w:t>
      </w:r>
      <w:r w:rsidR="005D60AA">
        <w:t>ķīmijterapijas vai staru terapijas pakalpojumu</w:t>
      </w:r>
      <w:r w:rsidR="005D60AA" w:rsidRPr="005B0CC3">
        <w:rPr>
          <w:szCs w:val="24"/>
        </w:rPr>
        <w:t xml:space="preserve"> </w:t>
      </w:r>
      <w:r w:rsidRPr="005B0CC3">
        <w:rPr>
          <w:szCs w:val="24"/>
        </w:rPr>
        <w:t>sniegšanu</w:t>
      </w:r>
      <w:r>
        <w:rPr>
          <w:szCs w:val="24"/>
        </w:rPr>
        <w:t xml:space="preserve"> pieaugušajiem</w:t>
      </w:r>
      <w:r w:rsidRPr="005B0CC3">
        <w:rPr>
          <w:szCs w:val="24"/>
        </w:rPr>
        <w:t>, ja vērtēšanas kritēriji nav izpildīti vai ir izpildīti nepilnīgi;</w:t>
      </w:r>
    </w:p>
    <w:p w14:paraId="3C23531C" w14:textId="11475733" w:rsidR="006F4B90" w:rsidRPr="00CA47E7" w:rsidRDefault="006F4B90" w:rsidP="006F4B90">
      <w:pPr>
        <w:pStyle w:val="ListParagraph"/>
        <w:numPr>
          <w:ilvl w:val="1"/>
          <w:numId w:val="1"/>
        </w:numPr>
        <w:ind w:left="993" w:hanging="567"/>
        <w:jc w:val="both"/>
        <w:rPr>
          <w:rFonts w:eastAsiaTheme="minorHAnsi"/>
          <w:szCs w:val="24"/>
        </w:rPr>
      </w:pPr>
      <w:r w:rsidRPr="006F4B90">
        <w:rPr>
          <w:szCs w:val="24"/>
        </w:rPr>
        <w:t xml:space="preserve">var mainīt vai papildināt </w:t>
      </w:r>
      <w:r w:rsidR="008D396A" w:rsidRPr="00A86DC7">
        <w:rPr>
          <w:rFonts w:eastAsia="Times New Roman"/>
          <w:szCs w:val="24"/>
        </w:rPr>
        <w:t xml:space="preserve">DIENESTA </w:t>
      </w:r>
      <w:r w:rsidR="008D396A">
        <w:rPr>
          <w:rFonts w:eastAsia="Times New Roman"/>
          <w:szCs w:val="24"/>
        </w:rPr>
        <w:t>tīmekļvietnē</w:t>
      </w:r>
      <w:r w:rsidR="008D396A" w:rsidRPr="00A86DC7">
        <w:rPr>
          <w:rFonts w:eastAsia="Times New Roman"/>
          <w:szCs w:val="24"/>
        </w:rPr>
        <w:t xml:space="preserve"> </w:t>
      </w:r>
      <w:hyperlink r:id="rId9" w:history="1">
        <w:r w:rsidR="008D396A" w:rsidRPr="00A86DC7">
          <w:rPr>
            <w:rFonts w:eastAsia="Times New Roman"/>
            <w:color w:val="0000FF"/>
            <w:szCs w:val="24"/>
            <w:u w:val="single"/>
          </w:rPr>
          <w:t>www.vmnvd.gov.lv</w:t>
        </w:r>
      </w:hyperlink>
      <w:r w:rsidR="008D396A" w:rsidRPr="00A86DC7">
        <w:rPr>
          <w:rFonts w:eastAsia="Times New Roman"/>
          <w:szCs w:val="24"/>
        </w:rPr>
        <w:t xml:space="preserve"> sadaļā „Līgumpartneriem”</w:t>
      </w:r>
      <w:r w:rsidR="008D396A">
        <w:rPr>
          <w:rFonts w:eastAsia="Times New Roman"/>
          <w:szCs w:val="24"/>
        </w:rPr>
        <w:t xml:space="preserve"> </w:t>
      </w:r>
      <w:r w:rsidRPr="006F4B90">
        <w:rPr>
          <w:szCs w:val="24"/>
        </w:rPr>
        <w:t xml:space="preserve">norādītajā dokumentā </w:t>
      </w:r>
      <w:r w:rsidR="008D396A" w:rsidRPr="008D396A">
        <w:rPr>
          <w:szCs w:val="24"/>
        </w:rPr>
        <w:t>“</w:t>
      </w:r>
      <w:hyperlink r:id="rId10" w:history="1">
        <w:r w:rsidR="008D396A" w:rsidRPr="008D396A">
          <w:rPr>
            <w:rStyle w:val="Hyperlink"/>
            <w:color w:val="auto"/>
            <w:u w:val="none"/>
          </w:rPr>
          <w:t>Plānveida stacionāro onkoloģisko pakalpojumu sniedzēju darbības vērtēšanas kritēriji</w:t>
        </w:r>
      </w:hyperlink>
      <w:r w:rsidR="008D396A" w:rsidRPr="008D396A">
        <w:t xml:space="preserve">” </w:t>
      </w:r>
      <w:r w:rsidRPr="006F4B90">
        <w:rPr>
          <w:szCs w:val="24"/>
        </w:rPr>
        <w:t>ietvertos kritērijus, par to rakstiski informējot IZPILDĪTĀJU ne vēlāk kā pirms tā gada sākuma, kurā šie kritēriji tiks pielietoti vērtēšanā.</w:t>
      </w:r>
    </w:p>
    <w:p w14:paraId="32382A06" w14:textId="77777777" w:rsidR="00CA47E7" w:rsidRPr="006F4B90" w:rsidRDefault="00CA47E7" w:rsidP="00CA47E7">
      <w:pPr>
        <w:pStyle w:val="ListParagraph"/>
        <w:ind w:left="993"/>
        <w:jc w:val="both"/>
        <w:rPr>
          <w:rFonts w:eastAsiaTheme="minorHAnsi"/>
          <w:szCs w:val="24"/>
        </w:rPr>
      </w:pPr>
    </w:p>
    <w:p w14:paraId="2FB0F249" w14:textId="78E8F76C" w:rsidR="006F4B90" w:rsidRPr="00091275" w:rsidRDefault="006F4B90" w:rsidP="006F4B90">
      <w:pPr>
        <w:pStyle w:val="ListParagraph"/>
        <w:widowControl/>
        <w:numPr>
          <w:ilvl w:val="0"/>
          <w:numId w:val="1"/>
        </w:numPr>
        <w:ind w:left="426" w:right="27" w:hanging="426"/>
        <w:jc w:val="both"/>
        <w:rPr>
          <w:rFonts w:eastAsia="Times New Roman"/>
          <w:szCs w:val="24"/>
        </w:rPr>
      </w:pPr>
      <w:r>
        <w:rPr>
          <w:szCs w:val="24"/>
        </w:rPr>
        <w:t>Apmaksu</w:t>
      </w:r>
      <w:r w:rsidRPr="00091275">
        <w:rPr>
          <w:szCs w:val="24"/>
        </w:rPr>
        <w:t xml:space="preserve"> par </w:t>
      </w:r>
      <w:r>
        <w:rPr>
          <w:szCs w:val="24"/>
        </w:rPr>
        <w:t xml:space="preserve">sniegtajiem </w:t>
      </w:r>
      <w:r w:rsidRPr="00091275">
        <w:rPr>
          <w:szCs w:val="24"/>
        </w:rPr>
        <w:t xml:space="preserve">pakalpojumiem DIENESTS veic </w:t>
      </w:r>
      <w:r>
        <w:rPr>
          <w:szCs w:val="24"/>
        </w:rPr>
        <w:t>saskaņā ar normatīvajos aktos noteikto apmaksas kārtību.</w:t>
      </w:r>
    </w:p>
    <w:p w14:paraId="324BA6A6" w14:textId="77777777" w:rsidR="006F4B90" w:rsidRDefault="006F4B90" w:rsidP="006F4B90">
      <w:pPr>
        <w:pStyle w:val="ListParagraph"/>
        <w:ind w:left="360"/>
        <w:jc w:val="both"/>
        <w:rPr>
          <w:rFonts w:eastAsiaTheme="minorHAnsi"/>
          <w:szCs w:val="24"/>
        </w:rPr>
      </w:pPr>
    </w:p>
    <w:p w14:paraId="1B44F6C3" w14:textId="77777777" w:rsidR="006F4B90" w:rsidRDefault="006F4B90" w:rsidP="006F4B90">
      <w:pPr>
        <w:pStyle w:val="ListParagraph"/>
        <w:ind w:left="360"/>
        <w:jc w:val="both"/>
        <w:rPr>
          <w:rFonts w:eastAsiaTheme="minorHAnsi"/>
          <w:szCs w:val="24"/>
        </w:rPr>
      </w:pPr>
    </w:p>
    <w:p w14:paraId="3FBB631E" w14:textId="77777777" w:rsidR="006F4B90" w:rsidRDefault="006F4B90" w:rsidP="006F4B90">
      <w:pPr>
        <w:pStyle w:val="ListParagraph"/>
        <w:ind w:left="360"/>
        <w:jc w:val="both"/>
        <w:rPr>
          <w:rFonts w:eastAsiaTheme="minorHAnsi"/>
          <w:szCs w:val="24"/>
        </w:rPr>
      </w:pPr>
    </w:p>
    <w:p w14:paraId="12D64C4B" w14:textId="77777777" w:rsidR="006F4B90" w:rsidRDefault="006F4B90" w:rsidP="006F4B90">
      <w:pPr>
        <w:widowControl/>
        <w:tabs>
          <w:tab w:val="left" w:pos="4962"/>
        </w:tabs>
        <w:autoSpaceDN w:val="0"/>
        <w:ind w:left="927" w:right="28"/>
        <w:jc w:val="both"/>
        <w:textAlignment w:val="baseline"/>
        <w:rPr>
          <w:b/>
          <w:szCs w:val="24"/>
        </w:rPr>
      </w:pPr>
      <w:r>
        <w:rPr>
          <w:b/>
          <w:szCs w:val="24"/>
        </w:rPr>
        <w:t xml:space="preserve">DIENESTS </w:t>
      </w:r>
      <w:r>
        <w:rPr>
          <w:b/>
          <w:szCs w:val="24"/>
        </w:rPr>
        <w:tab/>
        <w:t>IZPILDĪTĀJS</w:t>
      </w:r>
    </w:p>
    <w:p w14:paraId="42399D48" w14:textId="77777777" w:rsidR="006F4B90" w:rsidRDefault="006F4B90" w:rsidP="006F4B90">
      <w:pPr>
        <w:widowControl/>
        <w:autoSpaceDN w:val="0"/>
        <w:ind w:left="927" w:right="28"/>
        <w:jc w:val="both"/>
        <w:textAlignment w:val="baseline"/>
        <w:rPr>
          <w:b/>
          <w:szCs w:val="24"/>
        </w:rPr>
      </w:pPr>
    </w:p>
    <w:p w14:paraId="3753AA4C" w14:textId="77777777" w:rsidR="006F4B90" w:rsidRDefault="006F4B90" w:rsidP="006F4B90">
      <w:pPr>
        <w:widowControl/>
        <w:autoSpaceDN w:val="0"/>
        <w:ind w:left="927" w:right="28"/>
        <w:jc w:val="both"/>
        <w:textAlignment w:val="baseline"/>
        <w:rPr>
          <w:b/>
          <w:szCs w:val="24"/>
        </w:rPr>
      </w:pPr>
    </w:p>
    <w:p w14:paraId="1FB908F7" w14:textId="77777777" w:rsidR="006F4B90" w:rsidRDefault="006F4B90" w:rsidP="006F4B90">
      <w:pPr>
        <w:widowControl/>
        <w:autoSpaceDN w:val="0"/>
        <w:ind w:left="927" w:right="28"/>
        <w:jc w:val="both"/>
        <w:textAlignment w:val="baseline"/>
        <w:rPr>
          <w:szCs w:val="24"/>
        </w:rPr>
      </w:pPr>
    </w:p>
    <w:p w14:paraId="00887614" w14:textId="5D2F4A3A" w:rsidR="00CE5C27" w:rsidRPr="004E6F1E" w:rsidRDefault="006F4B90" w:rsidP="000B4896">
      <w:pPr>
        <w:widowControl/>
        <w:tabs>
          <w:tab w:val="left" w:pos="4962"/>
        </w:tabs>
        <w:autoSpaceDN w:val="0"/>
        <w:ind w:right="28"/>
        <w:jc w:val="both"/>
        <w:textAlignment w:val="baseline"/>
        <w:rPr>
          <w:b/>
          <w:szCs w:val="24"/>
        </w:rPr>
      </w:pPr>
      <w:r w:rsidRPr="004E6F1E">
        <w:rPr>
          <w:b/>
          <w:szCs w:val="24"/>
        </w:rPr>
        <w:t>_________________________</w:t>
      </w:r>
      <w:r w:rsidRPr="004E6F1E">
        <w:rPr>
          <w:b/>
          <w:szCs w:val="24"/>
        </w:rPr>
        <w:tab/>
        <w:t>__________________________</w:t>
      </w:r>
    </w:p>
    <w:p w14:paraId="5D688D48" w14:textId="30B29F00" w:rsidR="006F4B90" w:rsidRDefault="006F4B90" w:rsidP="006F4B90">
      <w:pPr>
        <w:pStyle w:val="ListParagraph"/>
        <w:ind w:left="360"/>
        <w:jc w:val="both"/>
        <w:rPr>
          <w:rFonts w:eastAsiaTheme="minorHAnsi"/>
          <w:szCs w:val="24"/>
        </w:rPr>
      </w:pPr>
    </w:p>
    <w:p w14:paraId="74A57A11" w14:textId="77777777" w:rsidR="005561F6" w:rsidRPr="005561F6" w:rsidRDefault="005561F6" w:rsidP="005561F6">
      <w:pPr>
        <w:widowControl/>
        <w:spacing w:after="160" w:line="254" w:lineRule="auto"/>
        <w:jc w:val="center"/>
        <w:rPr>
          <w:szCs w:val="24"/>
        </w:rPr>
      </w:pPr>
      <w:r w:rsidRPr="005561F6">
        <w:rPr>
          <w:szCs w:val="24"/>
        </w:rPr>
        <w:t>ŠIS DOKUMENTS IR PARAKSTĪTS AR DROŠU ELEKTRONISKO PARAKSTU  UN SATUR LAIKA ZĪMOGU</w:t>
      </w:r>
    </w:p>
    <w:p w14:paraId="4F8A7FC4" w14:textId="77777777" w:rsidR="005561F6" w:rsidRPr="006F4B90" w:rsidRDefault="005561F6" w:rsidP="006F4B90">
      <w:pPr>
        <w:pStyle w:val="ListParagraph"/>
        <w:ind w:left="360"/>
        <w:jc w:val="both"/>
        <w:rPr>
          <w:rFonts w:eastAsiaTheme="minorHAnsi"/>
          <w:szCs w:val="24"/>
        </w:rPr>
      </w:pPr>
    </w:p>
    <w:sectPr w:rsidR="005561F6" w:rsidRPr="006F4B90" w:rsidSect="00CD466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C1997"/>
    <w:multiLevelType w:val="multilevel"/>
    <w:tmpl w:val="D458E3F0"/>
    <w:lvl w:ilvl="0">
      <w:start w:val="1"/>
      <w:numFmt w:val="decimal"/>
      <w:lvlText w:val="%1."/>
      <w:lvlJc w:val="left"/>
      <w:pPr>
        <w:ind w:left="360" w:hanging="360"/>
      </w:pPr>
      <w:rPr>
        <w:b/>
      </w:rPr>
    </w:lvl>
    <w:lvl w:ilvl="1">
      <w:start w:val="1"/>
      <w:numFmt w:val="decimal"/>
      <w:lvlText w:val="%1.%2."/>
      <w:lvlJc w:val="left"/>
      <w:pPr>
        <w:ind w:left="3763"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183707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7E"/>
    <w:rsid w:val="00087BAB"/>
    <w:rsid w:val="000B4896"/>
    <w:rsid w:val="000B4E02"/>
    <w:rsid w:val="000C3BB4"/>
    <w:rsid w:val="000C7800"/>
    <w:rsid w:val="001C2101"/>
    <w:rsid w:val="001C2232"/>
    <w:rsid w:val="001E0852"/>
    <w:rsid w:val="002E4B87"/>
    <w:rsid w:val="0032272C"/>
    <w:rsid w:val="003250CA"/>
    <w:rsid w:val="0034163A"/>
    <w:rsid w:val="00360C02"/>
    <w:rsid w:val="003778F0"/>
    <w:rsid w:val="00381FD1"/>
    <w:rsid w:val="003E5DE4"/>
    <w:rsid w:val="00402090"/>
    <w:rsid w:val="00435FE2"/>
    <w:rsid w:val="004C41FF"/>
    <w:rsid w:val="00506C5D"/>
    <w:rsid w:val="005330E3"/>
    <w:rsid w:val="005561F6"/>
    <w:rsid w:val="005713E4"/>
    <w:rsid w:val="005735DA"/>
    <w:rsid w:val="005925D2"/>
    <w:rsid w:val="005D60AA"/>
    <w:rsid w:val="006263FC"/>
    <w:rsid w:val="006A211F"/>
    <w:rsid w:val="006C3BF1"/>
    <w:rsid w:val="006D01BF"/>
    <w:rsid w:val="006F4B90"/>
    <w:rsid w:val="007458AE"/>
    <w:rsid w:val="00751CB5"/>
    <w:rsid w:val="007B05B8"/>
    <w:rsid w:val="00800B9A"/>
    <w:rsid w:val="00812FDC"/>
    <w:rsid w:val="008419F3"/>
    <w:rsid w:val="008D396A"/>
    <w:rsid w:val="0090531F"/>
    <w:rsid w:val="009C1E45"/>
    <w:rsid w:val="00A53F7E"/>
    <w:rsid w:val="00A55B49"/>
    <w:rsid w:val="00A57C21"/>
    <w:rsid w:val="00AB0197"/>
    <w:rsid w:val="00AB442C"/>
    <w:rsid w:val="00AC2E61"/>
    <w:rsid w:val="00B1143B"/>
    <w:rsid w:val="00B36783"/>
    <w:rsid w:val="00B835A4"/>
    <w:rsid w:val="00BE2F61"/>
    <w:rsid w:val="00CA47E7"/>
    <w:rsid w:val="00CB5C6A"/>
    <w:rsid w:val="00CD4665"/>
    <w:rsid w:val="00CE3E4C"/>
    <w:rsid w:val="00CE5C27"/>
    <w:rsid w:val="00D95F6D"/>
    <w:rsid w:val="00DE4CF1"/>
    <w:rsid w:val="00E12555"/>
    <w:rsid w:val="00E65BDC"/>
    <w:rsid w:val="00EA4D9A"/>
    <w:rsid w:val="00ED11DA"/>
    <w:rsid w:val="00EE7DA2"/>
    <w:rsid w:val="00F528BD"/>
    <w:rsid w:val="00FB0D12"/>
    <w:rsid w:val="00FD29F2"/>
    <w:rsid w:val="00FE3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FD4A"/>
  <w15:chartTrackingRefBased/>
  <w15:docId w15:val="{B6C75EEB-7ECF-4980-9071-F9A2BC91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F7E"/>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F7E"/>
    <w:pPr>
      <w:ind w:left="720"/>
      <w:contextualSpacing/>
    </w:pPr>
  </w:style>
  <w:style w:type="table" w:styleId="TableGrid">
    <w:name w:val="Table Grid"/>
    <w:basedOn w:val="TableNormal"/>
    <w:uiPriority w:val="39"/>
    <w:rsid w:val="001C2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0D12"/>
    <w:rPr>
      <w:sz w:val="16"/>
      <w:szCs w:val="16"/>
    </w:rPr>
  </w:style>
  <w:style w:type="paragraph" w:styleId="CommentText">
    <w:name w:val="annotation text"/>
    <w:basedOn w:val="Normal"/>
    <w:link w:val="CommentTextChar"/>
    <w:uiPriority w:val="99"/>
    <w:unhideWhenUsed/>
    <w:rsid w:val="00FB0D12"/>
    <w:rPr>
      <w:sz w:val="20"/>
      <w:szCs w:val="20"/>
    </w:rPr>
  </w:style>
  <w:style w:type="character" w:customStyle="1" w:styleId="CommentTextChar">
    <w:name w:val="Comment Text Char"/>
    <w:basedOn w:val="DefaultParagraphFont"/>
    <w:link w:val="CommentText"/>
    <w:uiPriority w:val="99"/>
    <w:rsid w:val="00FB0D1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0D12"/>
    <w:rPr>
      <w:b/>
      <w:bCs/>
    </w:rPr>
  </w:style>
  <w:style w:type="character" w:customStyle="1" w:styleId="CommentSubjectChar">
    <w:name w:val="Comment Subject Char"/>
    <w:basedOn w:val="CommentTextChar"/>
    <w:link w:val="CommentSubject"/>
    <w:uiPriority w:val="99"/>
    <w:semiHidden/>
    <w:rsid w:val="00FB0D1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B0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D12"/>
    <w:rPr>
      <w:rFonts w:ascii="Segoe UI" w:eastAsia="Calibri" w:hAnsi="Segoe UI" w:cs="Segoe UI"/>
      <w:sz w:val="18"/>
      <w:szCs w:val="18"/>
    </w:rPr>
  </w:style>
  <w:style w:type="character" w:styleId="Hyperlink">
    <w:name w:val="Hyperlink"/>
    <w:basedOn w:val="DefaultParagraphFont"/>
    <w:uiPriority w:val="99"/>
    <w:unhideWhenUsed/>
    <w:rsid w:val="007458AE"/>
    <w:rPr>
      <w:color w:val="0563C1" w:themeColor="hyperlink"/>
      <w:u w:val="single"/>
    </w:rPr>
  </w:style>
  <w:style w:type="paragraph" w:styleId="Revision">
    <w:name w:val="Revision"/>
    <w:hidden/>
    <w:uiPriority w:val="99"/>
    <w:semiHidden/>
    <w:rsid w:val="006C3BF1"/>
    <w:pPr>
      <w:spacing w:after="0" w:line="240" w:lineRule="auto"/>
    </w:pPr>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57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6730">
      <w:bodyDiv w:val="1"/>
      <w:marLeft w:val="0"/>
      <w:marRight w:val="0"/>
      <w:marTop w:val="0"/>
      <w:marBottom w:val="0"/>
      <w:divBdr>
        <w:top w:val="none" w:sz="0" w:space="0" w:color="auto"/>
        <w:left w:val="none" w:sz="0" w:space="0" w:color="auto"/>
        <w:bottom w:val="none" w:sz="0" w:space="0" w:color="auto"/>
        <w:right w:val="none" w:sz="0" w:space="0" w:color="auto"/>
      </w:divBdr>
    </w:div>
    <w:div w:id="163906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uploads/files/5a99149507283.docx" TargetMode="External"/><Relationship Id="rId3" Type="http://schemas.openxmlformats.org/officeDocument/2006/relationships/settings" Target="settings.xml"/><Relationship Id="rId7" Type="http://schemas.openxmlformats.org/officeDocument/2006/relationships/hyperlink" Target="http://www.vmnvd.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mnvd.gov.lv/uploads/files/5aeb0fd87d3c0.docx" TargetMode="External"/><Relationship Id="rId11" Type="http://schemas.openxmlformats.org/officeDocument/2006/relationships/fontTable" Target="fontTable.xml"/><Relationship Id="rId5" Type="http://schemas.openxmlformats.org/officeDocument/2006/relationships/hyperlink" Target="http://www.vmnvd.gov.lv" TargetMode="External"/><Relationship Id="rId10" Type="http://schemas.openxmlformats.org/officeDocument/2006/relationships/hyperlink" Target="http://www.vmnvd.gov.lv/uploads/files/5a99149507283.docx" TargetMode="External"/><Relationship Id="rId4" Type="http://schemas.openxmlformats.org/officeDocument/2006/relationships/webSettings" Target="webSettings.xml"/><Relationship Id="rId9"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4936</Words>
  <Characters>2814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Lolita Pranta</cp:lastModifiedBy>
  <cp:revision>10</cp:revision>
  <cp:lastPrinted>2022-05-05T08:31:00Z</cp:lastPrinted>
  <dcterms:created xsi:type="dcterms:W3CDTF">2022-05-05T08:33:00Z</dcterms:created>
  <dcterms:modified xsi:type="dcterms:W3CDTF">2022-06-08T08:18:00Z</dcterms:modified>
</cp:coreProperties>
</file>