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08A6B18E"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7C6F481C"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F0D8955"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3BBD3A38"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684B723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3EFF553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034385" w:rsidRPr="00F802BB">
        <w:rPr>
          <w:rFonts w:ascii="Times New Roman" w:eastAsia="Times New Roman" w:hAnsi="Times New Roman"/>
          <w:sz w:val="24"/>
          <w:szCs w:val="24"/>
        </w:rPr>
        <w:t xml:space="preserve">”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099D2C4E" w14:textId="50AB50CC" w:rsidR="009B1913" w:rsidRDefault="009B1913" w:rsidP="009B1913">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2.11. </w:t>
      </w:r>
      <w:r w:rsidRPr="00E57395">
        <w:rPr>
          <w:rFonts w:ascii="Times New Roman" w:hAnsi="Times New Roman"/>
          <w:sz w:val="24"/>
          <w:szCs w:val="24"/>
        </w:rPr>
        <w:t>Ja IZPILDĪTĀJS nodrošina neatliekamās medicīniskās palīdzības uzņemšanas nodaļas darbību un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tas organizē pacientu triāžu (</w:t>
      </w:r>
      <w:proofErr w:type="spellStart"/>
      <w:r w:rsidRPr="00E57395">
        <w:rPr>
          <w:rFonts w:ascii="Times New Roman" w:hAnsi="Times New Roman"/>
          <w:sz w:val="24"/>
          <w:szCs w:val="24"/>
        </w:rPr>
        <w:t>prioritizēšanu</w:t>
      </w:r>
      <w:proofErr w:type="spellEnd"/>
      <w:r w:rsidRPr="00E57395">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w:t>
      </w:r>
      <w:r w:rsidR="00127D3C">
        <w:rPr>
          <w:rFonts w:ascii="Times New Roman" w:hAnsi="Times New Roman"/>
          <w:sz w:val="24"/>
          <w:szCs w:val="24"/>
        </w:rPr>
        <w:t xml:space="preserve"> DIENESTA</w:t>
      </w:r>
      <w:r w:rsidRPr="00E57395">
        <w:rPr>
          <w:rFonts w:ascii="Times New Roman" w:hAnsi="Times New Roman"/>
          <w:sz w:val="24"/>
          <w:szCs w:val="24"/>
        </w:rPr>
        <w:t xml:space="preserve"> tīmekļvietnē </w:t>
      </w:r>
      <w:r w:rsidRPr="00F9720F">
        <w:rPr>
          <w:rFonts w:ascii="Times New Roman" w:hAnsi="Times New Roman"/>
          <w:sz w:val="24"/>
          <w:szCs w:val="24"/>
          <w:u w:val="single"/>
        </w:rPr>
        <w:t>www.vmnvd.gov.lv</w:t>
      </w:r>
      <w:r w:rsidRPr="00E57395">
        <w:rPr>
          <w:rFonts w:ascii="Times New Roman" w:hAnsi="Times New Roman"/>
          <w:sz w:val="24"/>
          <w:szCs w:val="24"/>
        </w:rPr>
        <w:t xml:space="preserve">  sadaļā “</w:t>
      </w:r>
      <w:r w:rsidR="00BD57F5">
        <w:rPr>
          <w:rFonts w:ascii="Times New Roman" w:hAnsi="Times New Roman"/>
          <w:sz w:val="24"/>
          <w:szCs w:val="24"/>
        </w:rPr>
        <w:t>Profesionāļiem</w:t>
      </w:r>
      <w:r w:rsidRPr="00E57395">
        <w:rPr>
          <w:rFonts w:ascii="Times New Roman" w:hAnsi="Times New Roman"/>
          <w:sz w:val="24"/>
          <w:szCs w:val="24"/>
        </w:rPr>
        <w:t xml:space="preserve">”  esošo pakalpojumu organizācijas kārtību “Pacientu </w:t>
      </w:r>
      <w:proofErr w:type="spellStart"/>
      <w:r w:rsidRPr="00E57395">
        <w:rPr>
          <w:rFonts w:ascii="Times New Roman" w:hAnsi="Times New Roman"/>
          <w:sz w:val="24"/>
          <w:szCs w:val="24"/>
        </w:rPr>
        <w:t>triāžas</w:t>
      </w:r>
      <w:proofErr w:type="spellEnd"/>
      <w:r w:rsidRPr="00E57395">
        <w:rPr>
          <w:rFonts w:ascii="Times New Roman" w:hAnsi="Times New Roman"/>
          <w:sz w:val="24"/>
          <w:szCs w:val="24"/>
        </w:rPr>
        <w:t xml:space="preserve"> kārtība neatliekamās medicīniskās palīdzības uzņemšanas nodaļā”.</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w:t>
      </w:r>
      <w:r w:rsidR="00034385" w:rsidRPr="00C5170F">
        <w:rPr>
          <w:rFonts w:ascii="Times New Roman" w:hAnsi="Times New Roman"/>
          <w:sz w:val="24"/>
          <w:szCs w:val="24"/>
        </w:rPr>
        <w:lastRenderedPageBreak/>
        <w:t xml:space="preserve">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1A641EC4"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esošajā dokumentā „Pakalpojumu saņēmēji”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xml:space="preserve">, izrakstīšanai  starp Līdzējiem noslēgtajā līgumā par sekundāro ambulatoro veselības aprūpes pakalpojumu </w:t>
      </w:r>
      <w:r w:rsidRPr="008D2C3A">
        <w:rPr>
          <w:rFonts w:ascii="Times New Roman" w:hAnsi="Times New Roman"/>
          <w:sz w:val="24"/>
          <w:szCs w:val="24"/>
          <w:lang w:eastAsia="lv-LV"/>
        </w:rPr>
        <w:lastRenderedPageBreak/>
        <w:t>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lastRenderedPageBreak/>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w:t>
      </w:r>
      <w:r w:rsidR="00C54C8A" w:rsidRPr="003E2AD1">
        <w:rPr>
          <w:rFonts w:ascii="Times New Roman" w:eastAsia="Times New Roman" w:hAnsi="Times New Roman"/>
          <w:sz w:val="24"/>
          <w:szCs w:val="24"/>
        </w:rPr>
        <w:lastRenderedPageBreak/>
        <w:t>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389D7B1B"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sidRPr="00A86DC7">
        <w:rPr>
          <w:rFonts w:ascii="Times New Roman" w:eastAsia="Times New Roman" w:hAnsi="Times New Roman"/>
          <w:sz w:val="24"/>
          <w:szCs w:val="24"/>
        </w:rPr>
        <w:t>”</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405A3ADD"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421894BC"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33537BBA"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r w:rsidR="00C54C8A" w:rsidRPr="00BC36CB">
        <w:rPr>
          <w:rFonts w:ascii="Times New Roman" w:eastAsia="Times New Roman" w:hAnsi="Times New Roman"/>
          <w:b/>
          <w:sz w:val="24"/>
          <w:szCs w:val="24"/>
        </w:rPr>
        <w:t xml:space="preserve">pārskatu par nodarbināto un slodžu skaitu ārstniecības iestādē </w:t>
      </w:r>
      <w:r w:rsidR="00C54C8A" w:rsidRPr="00BC36CB">
        <w:rPr>
          <w:rFonts w:ascii="Times New Roman" w:eastAsia="Times New Roman" w:hAnsi="Times New Roman"/>
          <w:sz w:val="24"/>
          <w:szCs w:val="24"/>
        </w:rPr>
        <w:t xml:space="preserve">– vienu reizi gadā līdz 15.februārim par iepriekšējo gadu,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51181E19" w14:textId="61E3EFA4"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C54C8A" w:rsidRPr="00BC36CB">
        <w:rPr>
          <w:rFonts w:ascii="Times New Roman" w:hAnsi="Times New Roman"/>
          <w:b/>
          <w:sz w:val="24"/>
          <w:szCs w:val="24"/>
        </w:rPr>
        <w:t>pārskatu par budžeta līdzekļu izlietojumu ārstniecības iestādē</w:t>
      </w:r>
      <w:r w:rsidR="00C54C8A" w:rsidRPr="00BC36CB">
        <w:rPr>
          <w:rFonts w:ascii="Times New Roman" w:hAnsi="Times New Roman"/>
          <w:sz w:val="24"/>
          <w:szCs w:val="24"/>
        </w:rPr>
        <w:t xml:space="preserve">  </w:t>
      </w:r>
      <w:r w:rsidR="00C54C8A" w:rsidRPr="00BC36CB">
        <w:rPr>
          <w:rFonts w:ascii="Times New Roman" w:eastAsia="Times New Roman" w:hAnsi="Times New Roman"/>
          <w:sz w:val="24"/>
          <w:szCs w:val="24"/>
        </w:rPr>
        <w:t xml:space="preserve">– </w:t>
      </w:r>
      <w:r w:rsidR="00C54C8A" w:rsidRPr="00BC36CB">
        <w:rPr>
          <w:rFonts w:ascii="Times New Roman" w:hAnsi="Times New Roman"/>
          <w:sz w:val="24"/>
          <w:szCs w:val="24"/>
        </w:rPr>
        <w:t>vienu reizi gadā līdz 15.februārim,</w:t>
      </w:r>
      <w:r w:rsidR="00C54C8A" w:rsidRPr="00BC36CB">
        <w:rPr>
          <w:rFonts w:ascii="Times New Roman" w:eastAsia="Times New Roman" w:hAnsi="Times New Roman"/>
          <w:sz w:val="24"/>
          <w:szCs w:val="24"/>
        </w:rPr>
        <w:t xml:space="preserve">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25477CC0" w14:textId="08B482B4"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354CDB">
        <w:rPr>
          <w:rFonts w:ascii="Times New Roman" w:hAnsi="Times New Roman"/>
          <w:b/>
          <w:bCs/>
          <w:sz w:val="24"/>
          <w:szCs w:val="24"/>
        </w:rPr>
        <w:t>pārskatu par strādājošo faktisko vidējo atlīdzību, vidējo atalgojumu un vidējo mēneša amatalgu un izlietotajiem līdzekļiem atlīdzības pieaugumam</w:t>
      </w:r>
      <w:r w:rsidR="00354CDB">
        <w:rPr>
          <w:rFonts w:ascii="Times New Roman" w:hAnsi="Times New Roman"/>
          <w:sz w:val="24"/>
          <w:szCs w:val="24"/>
        </w:rPr>
        <w:t xml:space="preserve"> – par 1.ceturksni  līdz pārskata gada 30.aprīlim, par pusgadu līdz pārskata gada 31.jūlijam,  par gadu līdz nākamā gada 31.janvārim, iesniedzot pārskatu gan noformētu papīra dokumenta veidā, gan nosūtot to uz 10.1.punktā norādīto elektroniskā pasta adresi;</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 xml:space="preserve">Ārstu </w:t>
      </w:r>
      <w:proofErr w:type="spellStart"/>
      <w:r w:rsidR="00D73876" w:rsidRPr="00D73876">
        <w:rPr>
          <w:rFonts w:ascii="Times New Roman" w:hAnsi="Times New Roman"/>
          <w:b/>
          <w:sz w:val="24"/>
          <w:szCs w:val="24"/>
        </w:rPr>
        <w:t>dežūrpersonāla</w:t>
      </w:r>
      <w:proofErr w:type="spellEnd"/>
      <w:r w:rsidR="00D73876" w:rsidRPr="00D73876">
        <w:rPr>
          <w:rFonts w:ascii="Times New Roman" w:hAnsi="Times New Roman"/>
          <w:b/>
          <w:sz w:val="24"/>
          <w:szCs w:val="24"/>
        </w:rPr>
        <w:t xml:space="preserve">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5D2B1A64"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BD57F5">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1777D40A" w14:textId="04FAB97D" w:rsidR="00D01F81" w:rsidRDefault="00D01F8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6F66FC7C" w14:textId="77777777" w:rsidR="00D01F81" w:rsidRDefault="00D01F81" w:rsidP="00D01F81">
      <w:pPr>
        <w:keepNext/>
        <w:spacing w:after="0" w:line="240" w:lineRule="auto"/>
        <w:rPr>
          <w:rFonts w:ascii="Times New Roman" w:eastAsia="Times New Roman" w:hAnsi="Times New Roman"/>
          <w:sz w:val="24"/>
          <w:szCs w:val="24"/>
        </w:rPr>
      </w:pPr>
    </w:p>
    <w:p w14:paraId="27819E00" w14:textId="77777777" w:rsidR="00D01F81" w:rsidRDefault="00D01F81" w:rsidP="00D01F81">
      <w:pPr>
        <w:keepNext/>
        <w:spacing w:after="0" w:line="240" w:lineRule="auto"/>
        <w:rPr>
          <w:rFonts w:ascii="Times New Roman" w:eastAsia="Times New Roman" w:hAnsi="Times New Roman"/>
          <w:sz w:val="24"/>
          <w:szCs w:val="24"/>
        </w:rPr>
      </w:pP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21629</Words>
  <Characters>12329</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10</cp:revision>
  <cp:lastPrinted>2019-05-28T07:49:00Z</cp:lastPrinted>
  <dcterms:created xsi:type="dcterms:W3CDTF">2019-06-10T14:36:00Z</dcterms:created>
  <dcterms:modified xsi:type="dcterms:W3CDTF">2022-09-30T10:15:00Z</dcterms:modified>
</cp:coreProperties>
</file>