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8B1B" w14:textId="4F246452" w:rsidR="005611A3" w:rsidRPr="00D51E44" w:rsidRDefault="00000000" w:rsidP="005611A3">
      <w:pPr>
        <w:pStyle w:val="BodyB"/>
        <w:ind w:left="4536"/>
        <w:rPr>
          <w:noProof/>
        </w:rPr>
      </w:pPr>
      <w:r w:rsidRPr="00D51E44">
        <w:rPr>
          <w:noProof/>
        </w:rPr>
        <w:t>Pielikums</w:t>
      </w:r>
    </w:p>
    <w:p w14:paraId="2E685896" w14:textId="6DA9A80B" w:rsidR="005611A3" w:rsidRPr="00D51E44" w:rsidRDefault="00000000" w:rsidP="001027D9">
      <w:pPr>
        <w:pStyle w:val="BodyB"/>
        <w:ind w:left="4536"/>
        <w:rPr>
          <w:noProof/>
        </w:rPr>
      </w:pPr>
      <w:r w:rsidRPr="00D51E44">
        <w:rPr>
          <w:noProof/>
        </w:rPr>
        <w:t>Slimību profilakses un kontroles centra</w:t>
      </w:r>
      <w:r>
        <w:rPr>
          <w:noProof/>
        </w:rPr>
        <w:t xml:space="preserve"> Datums skatāms laika zīmogā</w:t>
      </w:r>
      <w:r>
        <w:t xml:space="preserve">. </w:t>
      </w:r>
      <w:r w:rsidR="00F44453">
        <w:rPr>
          <w:rFonts w:eastAsia="Times New Roman"/>
          <w:lang w:eastAsia="en-US"/>
        </w:rPr>
        <w:t>vēstulei</w:t>
      </w:r>
      <w:r>
        <w:rPr>
          <w:rFonts w:eastAsia="Times New Roman"/>
          <w:lang w:eastAsia="en-US"/>
        </w:rPr>
        <w:t xml:space="preserve"> </w:t>
      </w:r>
      <w:r w:rsidRPr="00E267C0">
        <w:rPr>
          <w:rFonts w:eastAsia="Times New Roman"/>
          <w:lang w:eastAsia="en-US"/>
        </w:rPr>
        <w:t>Nr.</w:t>
      </w:r>
      <w:r>
        <w:rPr>
          <w:rFonts w:eastAsia="Times New Roman"/>
          <w:lang w:eastAsia="en-US"/>
        </w:rPr>
        <w:t> </w:t>
      </w:r>
      <w:r>
        <w:rPr>
          <w:rFonts w:eastAsia="Times New Roman"/>
          <w:noProof/>
          <w:lang w:eastAsia="en-US"/>
        </w:rPr>
        <w:t>1-8.2/2023/745</w:t>
      </w:r>
    </w:p>
    <w:p w14:paraId="3326D553" w14:textId="60F6D8E7" w:rsidR="00EC0C62" w:rsidRPr="00BB7B3D" w:rsidRDefault="00000000" w:rsidP="001027D9">
      <w:pPr>
        <w:pStyle w:val="paragraph"/>
        <w:spacing w:before="480" w:beforeAutospacing="0" w:after="480" w:afterAutospacing="0" w:line="240" w:lineRule="auto"/>
        <w:jc w:val="center"/>
        <w:rPr>
          <w:rFonts w:asciiTheme="minorHAnsi" w:eastAsia="Calibri" w:hAnsiTheme="minorHAnsi" w:cstheme="minorHAnsi"/>
          <w:b/>
          <w:bCs/>
          <w:lang w:eastAsia="en-US"/>
        </w:rPr>
      </w:pPr>
      <w:r w:rsidRPr="00BB7B3D">
        <w:rPr>
          <w:rFonts w:asciiTheme="minorHAnsi" w:hAnsiTheme="minorHAnsi" w:cstheme="minorHAnsi"/>
          <w:b/>
        </w:rPr>
        <w:t>Informācija par vakcinācijas pret Covid-19 efektivitāti un ECDC apsvērumiem par vakcināciju pret Covid-19 infekcij</w:t>
      </w:r>
      <w:r w:rsidRPr="00BB7B3D">
        <w:rPr>
          <w:rFonts w:asciiTheme="minorHAnsi" w:eastAsia="Calibri" w:hAnsiTheme="minorHAnsi" w:cstheme="minorHAnsi"/>
          <w:b/>
          <w:bCs/>
          <w:lang w:eastAsia="en-US"/>
        </w:rPr>
        <w:t>u</w:t>
      </w:r>
    </w:p>
    <w:p w14:paraId="32282DE3" w14:textId="77777777" w:rsidR="00EC0C62" w:rsidRPr="00BB7B3D" w:rsidRDefault="00000000" w:rsidP="00EC0C62">
      <w:pPr>
        <w:pStyle w:val="paragraph"/>
        <w:spacing w:beforeAutospacing="0" w:after="0" w:afterAutospacing="0" w:line="276" w:lineRule="auto"/>
        <w:jc w:val="both"/>
        <w:textAlignment w:val="baseline"/>
        <w:rPr>
          <w:rFonts w:asciiTheme="minorHAnsi" w:hAnsiTheme="minorHAnsi" w:cstheme="minorHAnsi"/>
          <w:b/>
          <w:bCs/>
          <w:i/>
          <w:iCs/>
        </w:rPr>
      </w:pPr>
      <w:r w:rsidRPr="00BB7B3D">
        <w:rPr>
          <w:rFonts w:asciiTheme="minorHAnsi" w:hAnsiTheme="minorHAnsi" w:cstheme="minorHAnsi"/>
          <w:b/>
          <w:bCs/>
          <w:i/>
          <w:iCs/>
        </w:rPr>
        <w:t>Vakcinācijas pret Covid-19 efektivitāte</w:t>
      </w:r>
    </w:p>
    <w:p w14:paraId="480086F5" w14:textId="31EA17B8" w:rsidR="00EC0C62" w:rsidRPr="00BB7B3D" w:rsidRDefault="00000000" w:rsidP="00EC0C62">
      <w:pPr>
        <w:pStyle w:val="paragraph"/>
        <w:spacing w:beforeAutospacing="0" w:after="0" w:afterAutospacing="0" w:line="240" w:lineRule="auto"/>
        <w:ind w:firstLine="720"/>
        <w:jc w:val="both"/>
        <w:rPr>
          <w:rFonts w:asciiTheme="minorHAnsi" w:hAnsiTheme="minorHAnsi" w:cstheme="minorHAnsi"/>
        </w:rPr>
      </w:pPr>
      <w:r w:rsidRPr="00BB7B3D">
        <w:rPr>
          <w:rFonts w:asciiTheme="minorHAnsi" w:hAnsiTheme="minorHAnsi" w:cstheme="minorHAnsi"/>
          <w:b/>
          <w:bCs/>
        </w:rPr>
        <w:t>Inficēšanās.</w:t>
      </w:r>
      <w:r w:rsidRPr="00BB7B3D">
        <w:rPr>
          <w:rFonts w:asciiTheme="minorHAnsi" w:hAnsiTheme="minorHAnsi" w:cstheme="minorHAnsi"/>
        </w:rPr>
        <w:t xml:space="preserve"> </w:t>
      </w:r>
      <w:r w:rsidR="00294D00" w:rsidRPr="00BB7B3D">
        <w:rPr>
          <w:rFonts w:asciiTheme="minorHAnsi" w:hAnsiTheme="minorHAnsi" w:cstheme="minorHAnsi"/>
        </w:rPr>
        <w:t>Centra</w:t>
      </w:r>
      <w:r w:rsidRPr="00BB7B3D">
        <w:rPr>
          <w:rFonts w:asciiTheme="minorHAnsi" w:hAnsiTheme="minorHAnsi" w:cstheme="minorHAnsi"/>
        </w:rPr>
        <w:t xml:space="preserve"> epidemioloģiskās uzraudzības dati liecina, ka personām vecuma grupā virs 80 gadiem, kuri ir saņēmuši 2. </w:t>
      </w:r>
      <w:proofErr w:type="spellStart"/>
      <w:r w:rsidRPr="00BB7B3D">
        <w:rPr>
          <w:rFonts w:asciiTheme="minorHAnsi" w:hAnsiTheme="minorHAnsi" w:cstheme="minorHAnsi"/>
        </w:rPr>
        <w:t>balstvakcināciju</w:t>
      </w:r>
      <w:proofErr w:type="spellEnd"/>
      <w:r w:rsidR="00294D00" w:rsidRPr="00BB7B3D">
        <w:rPr>
          <w:rFonts w:asciiTheme="minorHAnsi" w:hAnsiTheme="minorHAnsi" w:cstheme="minorHAnsi"/>
        </w:rPr>
        <w:t>,</w:t>
      </w:r>
      <w:r w:rsidRPr="00BB7B3D">
        <w:rPr>
          <w:rFonts w:asciiTheme="minorHAnsi" w:hAnsiTheme="minorHAnsi" w:cstheme="minorHAnsi"/>
        </w:rPr>
        <w:t xml:space="preserve"> Covid-19 infekcija konstatēta </w:t>
      </w:r>
      <w:r w:rsidRPr="00BB7B3D">
        <w:rPr>
          <w:rFonts w:asciiTheme="minorHAnsi" w:hAnsiTheme="minorHAnsi" w:cstheme="minorHAnsi"/>
          <w:b/>
          <w:bCs/>
        </w:rPr>
        <w:t>3 reizēs retāk</w:t>
      </w:r>
      <w:r w:rsidRPr="00BB7B3D">
        <w:rPr>
          <w:rFonts w:asciiTheme="minorHAnsi" w:hAnsiTheme="minorHAnsi" w:cstheme="minorHAnsi"/>
        </w:rPr>
        <w:t xml:space="preserve">, nekā nevakcinētām personām attiecīgajā vecumā, salīdzinot datus par periodu no 2022. gada septembra līdz 2023. gada martam uz 100 000 vakcinētiem ar 2. </w:t>
      </w:r>
      <w:proofErr w:type="spellStart"/>
      <w:r w:rsidRPr="00BB7B3D">
        <w:rPr>
          <w:rFonts w:asciiTheme="minorHAnsi" w:hAnsiTheme="minorHAnsi" w:cstheme="minorHAnsi"/>
        </w:rPr>
        <w:t>balstvakcināciju</w:t>
      </w:r>
      <w:proofErr w:type="spellEnd"/>
      <w:r w:rsidRPr="00BB7B3D">
        <w:rPr>
          <w:rFonts w:asciiTheme="minorHAnsi" w:hAnsiTheme="minorHAnsi" w:cstheme="minorHAnsi"/>
        </w:rPr>
        <w:t xml:space="preserve"> un uz 100 000 nevakcinētām personām.</w:t>
      </w:r>
    </w:p>
    <w:p w14:paraId="5746436A" w14:textId="2DB51A80" w:rsidR="00EC0C62" w:rsidRPr="00BB7B3D" w:rsidRDefault="00000000" w:rsidP="00EC0C62">
      <w:pPr>
        <w:pStyle w:val="paragraph"/>
        <w:spacing w:beforeAutospacing="0" w:after="0" w:afterAutospacing="0" w:line="240" w:lineRule="auto"/>
        <w:ind w:firstLine="720"/>
        <w:jc w:val="both"/>
        <w:rPr>
          <w:rFonts w:asciiTheme="minorHAnsi" w:hAnsiTheme="minorHAnsi" w:cstheme="minorHAnsi"/>
        </w:rPr>
      </w:pPr>
      <w:proofErr w:type="spellStart"/>
      <w:r w:rsidRPr="00BB7B3D">
        <w:rPr>
          <w:rFonts w:asciiTheme="minorHAnsi" w:hAnsiTheme="minorHAnsi" w:cstheme="minorHAnsi"/>
          <w:b/>
          <w:bCs/>
        </w:rPr>
        <w:t>Stacionēšana</w:t>
      </w:r>
      <w:proofErr w:type="spellEnd"/>
      <w:r w:rsidRPr="00BB7B3D">
        <w:rPr>
          <w:rFonts w:asciiTheme="minorHAnsi" w:hAnsiTheme="minorHAnsi" w:cstheme="minorHAnsi"/>
          <w:b/>
          <w:bCs/>
        </w:rPr>
        <w:t>.</w:t>
      </w:r>
      <w:r w:rsidRPr="00BB7B3D">
        <w:rPr>
          <w:rFonts w:asciiTheme="minorHAnsi" w:hAnsiTheme="minorHAnsi" w:cstheme="minorHAnsi"/>
        </w:rPr>
        <w:t xml:space="preserve"> Par periodu no 2022. gada septembra līdz 2023. gada martam uz 100 000 personām, kuras ir saņēmušās 2. </w:t>
      </w:r>
      <w:proofErr w:type="spellStart"/>
      <w:r w:rsidRPr="00BB7B3D">
        <w:rPr>
          <w:rFonts w:asciiTheme="minorHAnsi" w:hAnsiTheme="minorHAnsi" w:cstheme="minorHAnsi"/>
        </w:rPr>
        <w:t>balstvakcināciju</w:t>
      </w:r>
      <w:proofErr w:type="spellEnd"/>
      <w:r w:rsidR="00294D00" w:rsidRPr="00BB7B3D">
        <w:rPr>
          <w:rFonts w:asciiTheme="minorHAnsi" w:hAnsiTheme="minorHAnsi" w:cstheme="minorHAnsi"/>
        </w:rPr>
        <w:t>, personas</w:t>
      </w:r>
      <w:r w:rsidRPr="00BB7B3D">
        <w:rPr>
          <w:rFonts w:asciiTheme="minorHAnsi" w:hAnsiTheme="minorHAnsi" w:cstheme="minorHAnsi"/>
        </w:rPr>
        <w:t xml:space="preserve"> vecumgrupā virs 80 gadiem tika </w:t>
      </w:r>
      <w:proofErr w:type="spellStart"/>
      <w:r w:rsidRPr="00BB7B3D">
        <w:rPr>
          <w:rFonts w:asciiTheme="minorHAnsi" w:hAnsiTheme="minorHAnsi" w:cstheme="minorHAnsi"/>
        </w:rPr>
        <w:t>stacionēt</w:t>
      </w:r>
      <w:r w:rsidR="00294D00" w:rsidRPr="00BB7B3D">
        <w:rPr>
          <w:rFonts w:asciiTheme="minorHAnsi" w:hAnsiTheme="minorHAnsi" w:cstheme="minorHAnsi"/>
        </w:rPr>
        <w:t>as</w:t>
      </w:r>
      <w:proofErr w:type="spellEnd"/>
      <w:r w:rsidRPr="00BB7B3D">
        <w:rPr>
          <w:rFonts w:asciiTheme="minorHAnsi" w:hAnsiTheme="minorHAnsi" w:cstheme="minorHAnsi"/>
        </w:rPr>
        <w:t xml:space="preserve"> </w:t>
      </w:r>
      <w:r w:rsidRPr="00BB7B3D">
        <w:rPr>
          <w:rFonts w:asciiTheme="minorHAnsi" w:hAnsiTheme="minorHAnsi" w:cstheme="minorHAnsi"/>
          <w:b/>
          <w:bCs/>
        </w:rPr>
        <w:t>4,7 reizēs retāk</w:t>
      </w:r>
      <w:r w:rsidRPr="00BB7B3D">
        <w:rPr>
          <w:rFonts w:asciiTheme="minorHAnsi" w:hAnsiTheme="minorHAnsi" w:cstheme="minorHAnsi"/>
        </w:rPr>
        <w:t xml:space="preserve">, nekā nevakcinētas personas. </w:t>
      </w:r>
    </w:p>
    <w:p w14:paraId="3D950E41" w14:textId="77777777" w:rsidR="00EC0C62" w:rsidRPr="00BB7B3D" w:rsidRDefault="00000000" w:rsidP="00EC0C62">
      <w:pPr>
        <w:pStyle w:val="paragraph"/>
        <w:spacing w:beforeAutospacing="0" w:after="0" w:afterAutospacing="0" w:line="240" w:lineRule="auto"/>
        <w:ind w:firstLine="720"/>
        <w:jc w:val="both"/>
        <w:rPr>
          <w:rFonts w:asciiTheme="minorHAnsi" w:hAnsiTheme="minorHAnsi" w:cstheme="minorHAnsi"/>
        </w:rPr>
      </w:pPr>
      <w:r w:rsidRPr="00BB7B3D">
        <w:rPr>
          <w:rFonts w:asciiTheme="minorHAnsi" w:hAnsiTheme="minorHAnsi" w:cstheme="minorHAnsi"/>
          <w:b/>
          <w:bCs/>
        </w:rPr>
        <w:t>Letāls iznākums.</w:t>
      </w:r>
      <w:r w:rsidRPr="00BB7B3D">
        <w:rPr>
          <w:rFonts w:asciiTheme="minorHAnsi" w:hAnsiTheme="minorHAnsi" w:cstheme="minorHAnsi"/>
        </w:rPr>
        <w:t xml:space="preserve"> Letāli  iznākumi Covid-19 pacientiem ar 2. </w:t>
      </w:r>
      <w:proofErr w:type="spellStart"/>
      <w:r w:rsidRPr="00BB7B3D">
        <w:rPr>
          <w:rFonts w:asciiTheme="minorHAnsi" w:hAnsiTheme="minorHAnsi" w:cstheme="minorHAnsi"/>
        </w:rPr>
        <w:t>balstvakcināciju</w:t>
      </w:r>
      <w:proofErr w:type="spellEnd"/>
      <w:r w:rsidRPr="00BB7B3D">
        <w:rPr>
          <w:rFonts w:asciiTheme="minorHAnsi" w:hAnsiTheme="minorHAnsi" w:cstheme="minorHAnsi"/>
        </w:rPr>
        <w:t xml:space="preserve"> konstatēti </w:t>
      </w:r>
      <w:r w:rsidRPr="00BB7B3D">
        <w:rPr>
          <w:rFonts w:asciiTheme="minorHAnsi" w:hAnsiTheme="minorHAnsi" w:cstheme="minorHAnsi"/>
          <w:b/>
          <w:bCs/>
        </w:rPr>
        <w:t>13,3 reizēs retāk</w:t>
      </w:r>
      <w:r w:rsidRPr="00BB7B3D">
        <w:rPr>
          <w:rFonts w:asciiTheme="minorHAnsi" w:hAnsiTheme="minorHAnsi" w:cstheme="minorHAnsi"/>
        </w:rPr>
        <w:t xml:space="preserve">, nekā nevakcinētajiem. </w:t>
      </w:r>
    </w:p>
    <w:p w14:paraId="1A5097CD" w14:textId="78329D8C" w:rsidR="00EC0C62" w:rsidRPr="00BB7B3D" w:rsidRDefault="00000000" w:rsidP="00EC0C62">
      <w:pPr>
        <w:pStyle w:val="paragraph"/>
        <w:spacing w:beforeAutospacing="0" w:after="0" w:afterAutospacing="0" w:line="240" w:lineRule="auto"/>
        <w:ind w:firstLine="720"/>
        <w:jc w:val="both"/>
        <w:rPr>
          <w:rFonts w:asciiTheme="minorHAnsi" w:hAnsiTheme="minorHAnsi" w:cstheme="minorHAnsi"/>
        </w:rPr>
      </w:pPr>
      <w:r w:rsidRPr="00BB7B3D">
        <w:rPr>
          <w:rFonts w:asciiTheme="minorHAnsi" w:hAnsiTheme="minorHAnsi" w:cstheme="minorHAnsi"/>
        </w:rPr>
        <w:t xml:space="preserve">ECDC vērš uzmanību uz citu valstu pētījumiem par vakcīnu efektivitāti un detalizēti atsaucās uz ASV pētījumiem, piemērām, par </w:t>
      </w:r>
      <w:proofErr w:type="spellStart"/>
      <w:r w:rsidRPr="00BB7B3D">
        <w:rPr>
          <w:rFonts w:asciiTheme="minorHAnsi" w:hAnsiTheme="minorHAnsi" w:cstheme="minorHAnsi"/>
        </w:rPr>
        <w:t>balstvakcinācijas</w:t>
      </w:r>
      <w:proofErr w:type="spellEnd"/>
      <w:r w:rsidRPr="00BB7B3D">
        <w:rPr>
          <w:rFonts w:asciiTheme="minorHAnsi" w:hAnsiTheme="minorHAnsi" w:cstheme="minorHAnsi"/>
        </w:rPr>
        <w:t xml:space="preserve">  efektivitāti (VE) ar </w:t>
      </w:r>
      <w:proofErr w:type="spellStart"/>
      <w:r w:rsidRPr="00BB7B3D">
        <w:rPr>
          <w:rFonts w:asciiTheme="minorHAnsi" w:hAnsiTheme="minorHAnsi" w:cstheme="minorHAnsi"/>
        </w:rPr>
        <w:t>monovalento</w:t>
      </w:r>
      <w:proofErr w:type="spellEnd"/>
      <w:r w:rsidRPr="00BB7B3D">
        <w:rPr>
          <w:rFonts w:asciiTheme="minorHAnsi" w:hAnsiTheme="minorHAnsi" w:cstheme="minorHAnsi"/>
        </w:rPr>
        <w:t xml:space="preserve"> un </w:t>
      </w:r>
      <w:proofErr w:type="spellStart"/>
      <w:r w:rsidRPr="00BB7B3D">
        <w:rPr>
          <w:rFonts w:asciiTheme="minorHAnsi" w:hAnsiTheme="minorHAnsi" w:cstheme="minorHAnsi"/>
        </w:rPr>
        <w:t>bivalento</w:t>
      </w:r>
      <w:proofErr w:type="spellEnd"/>
      <w:r w:rsidRPr="00BB7B3D">
        <w:rPr>
          <w:rFonts w:asciiTheme="minorHAnsi" w:hAnsiTheme="minorHAnsi" w:cstheme="minorHAnsi"/>
        </w:rPr>
        <w:t xml:space="preserve"> vakcīnu, kas liecina par augstu aizsardzību pret smagu slimību iepriekš vakcinētiem indivīdiem. ASV veiktais kohorta pētījums par </w:t>
      </w:r>
      <w:proofErr w:type="spellStart"/>
      <w:r w:rsidRPr="00BB7B3D">
        <w:rPr>
          <w:rFonts w:asciiTheme="minorHAnsi" w:hAnsiTheme="minorHAnsi" w:cstheme="minorHAnsi"/>
        </w:rPr>
        <w:t>bivalento</w:t>
      </w:r>
      <w:proofErr w:type="spellEnd"/>
      <w:r w:rsidRPr="00BB7B3D">
        <w:rPr>
          <w:rFonts w:asciiTheme="minorHAnsi" w:hAnsiTheme="minorHAnsi" w:cstheme="minorHAnsi"/>
        </w:rPr>
        <w:t xml:space="preserve"> VE pret smagu slimības norisi  konstatēja, ka pacientiem vecumā virs 65 gadiem, kuri iepriekš bija vakcinēti un saņēmuši </w:t>
      </w:r>
      <w:proofErr w:type="spellStart"/>
      <w:r w:rsidRPr="00BB7B3D">
        <w:rPr>
          <w:rFonts w:asciiTheme="minorHAnsi" w:hAnsiTheme="minorHAnsi" w:cstheme="minorHAnsi"/>
        </w:rPr>
        <w:t>balstvakcināciju</w:t>
      </w:r>
      <w:proofErr w:type="spellEnd"/>
      <w:r w:rsidRPr="00BB7B3D">
        <w:rPr>
          <w:rFonts w:asciiTheme="minorHAnsi" w:hAnsiTheme="minorHAnsi" w:cstheme="minorHAnsi"/>
        </w:rPr>
        <w:t xml:space="preserve">, </w:t>
      </w:r>
      <w:proofErr w:type="spellStart"/>
      <w:r w:rsidRPr="00BB7B3D">
        <w:rPr>
          <w:rFonts w:asciiTheme="minorHAnsi" w:hAnsiTheme="minorHAnsi" w:cstheme="minorHAnsi"/>
        </w:rPr>
        <w:t>bivalentās</w:t>
      </w:r>
      <w:proofErr w:type="spellEnd"/>
      <w:r w:rsidRPr="00BB7B3D">
        <w:rPr>
          <w:rFonts w:asciiTheme="minorHAnsi" w:hAnsiTheme="minorHAnsi" w:cstheme="minorHAnsi"/>
        </w:rPr>
        <w:t xml:space="preserve"> vakcīnas VE bija augstāka nekā </w:t>
      </w:r>
      <w:proofErr w:type="spellStart"/>
      <w:r w:rsidRPr="00BB7B3D">
        <w:rPr>
          <w:rFonts w:asciiTheme="minorHAnsi" w:hAnsiTheme="minorHAnsi" w:cstheme="minorHAnsi"/>
        </w:rPr>
        <w:t>monovalentām</w:t>
      </w:r>
      <w:proofErr w:type="spellEnd"/>
      <w:r w:rsidRPr="00BB7B3D">
        <w:rPr>
          <w:rFonts w:asciiTheme="minorHAnsi" w:hAnsiTheme="minorHAnsi" w:cstheme="minorHAnsi"/>
        </w:rPr>
        <w:t xml:space="preserve"> vakcīnām. VE pret smagu slimību, hospitalizāciju vai letālo iznākumu bija </w:t>
      </w:r>
      <w:r w:rsidRPr="00BB7B3D">
        <w:rPr>
          <w:rFonts w:asciiTheme="minorHAnsi" w:hAnsiTheme="minorHAnsi" w:cstheme="minorHAnsi"/>
          <w:b/>
          <w:bCs/>
        </w:rPr>
        <w:t>24,9%</w:t>
      </w:r>
      <w:r w:rsidRPr="00BB7B3D">
        <w:rPr>
          <w:rFonts w:asciiTheme="minorHAnsi" w:hAnsiTheme="minorHAnsi" w:cstheme="minorHAnsi"/>
        </w:rPr>
        <w:t xml:space="preserve"> vienai </w:t>
      </w:r>
      <w:proofErr w:type="spellStart"/>
      <w:r w:rsidRPr="00BB7B3D">
        <w:rPr>
          <w:rFonts w:asciiTheme="minorHAnsi" w:hAnsiTheme="minorHAnsi" w:cstheme="minorHAnsi"/>
        </w:rPr>
        <w:t>monovalentas</w:t>
      </w:r>
      <w:proofErr w:type="spellEnd"/>
      <w:r w:rsidRPr="00BB7B3D">
        <w:rPr>
          <w:rFonts w:asciiTheme="minorHAnsi" w:hAnsiTheme="minorHAnsi" w:cstheme="minorHAnsi"/>
        </w:rPr>
        <w:t xml:space="preserve"> vakcīnas </w:t>
      </w:r>
      <w:proofErr w:type="spellStart"/>
      <w:r w:rsidRPr="00BB7B3D">
        <w:rPr>
          <w:rFonts w:asciiTheme="minorHAnsi" w:hAnsiTheme="minorHAnsi" w:cstheme="minorHAnsi"/>
        </w:rPr>
        <w:t>balstvakcinācijas</w:t>
      </w:r>
      <w:proofErr w:type="spellEnd"/>
      <w:r w:rsidRPr="00BB7B3D">
        <w:rPr>
          <w:rFonts w:asciiTheme="minorHAnsi" w:hAnsiTheme="minorHAnsi" w:cstheme="minorHAnsi"/>
        </w:rPr>
        <w:t xml:space="preserve"> devai un </w:t>
      </w:r>
      <w:r w:rsidRPr="00BB7B3D">
        <w:rPr>
          <w:rFonts w:asciiTheme="minorHAnsi" w:hAnsiTheme="minorHAnsi" w:cstheme="minorHAnsi"/>
          <w:b/>
          <w:bCs/>
        </w:rPr>
        <w:t>61,8%</w:t>
      </w:r>
      <w:r w:rsidRPr="00BB7B3D">
        <w:rPr>
          <w:rFonts w:asciiTheme="minorHAnsi" w:hAnsiTheme="minorHAnsi" w:cstheme="minorHAnsi"/>
        </w:rPr>
        <w:t xml:space="preserve"> vienai </w:t>
      </w:r>
      <w:proofErr w:type="spellStart"/>
      <w:r w:rsidRPr="00BB7B3D">
        <w:rPr>
          <w:rFonts w:asciiTheme="minorHAnsi" w:hAnsiTheme="minorHAnsi" w:cstheme="minorHAnsi"/>
        </w:rPr>
        <w:t>bivalentas</w:t>
      </w:r>
      <w:proofErr w:type="spellEnd"/>
      <w:r w:rsidRPr="00BB7B3D">
        <w:rPr>
          <w:rFonts w:asciiTheme="minorHAnsi" w:hAnsiTheme="minorHAnsi" w:cstheme="minorHAnsi"/>
        </w:rPr>
        <w:t xml:space="preserve"> vakcīnas </w:t>
      </w:r>
      <w:proofErr w:type="spellStart"/>
      <w:r w:rsidRPr="00BB7B3D">
        <w:rPr>
          <w:rFonts w:asciiTheme="minorHAnsi" w:hAnsiTheme="minorHAnsi" w:cstheme="minorHAnsi"/>
        </w:rPr>
        <w:t>balstvakcinācijas</w:t>
      </w:r>
      <w:proofErr w:type="spellEnd"/>
      <w:r w:rsidRPr="00BB7B3D">
        <w:rPr>
          <w:rFonts w:asciiTheme="minorHAnsi" w:hAnsiTheme="minorHAnsi" w:cstheme="minorHAnsi"/>
        </w:rPr>
        <w:t xml:space="preserve"> devai. </w:t>
      </w:r>
    </w:p>
    <w:p w14:paraId="20DC5231" w14:textId="322424F9" w:rsidR="00EC0C62" w:rsidRPr="00BB7B3D" w:rsidRDefault="00000000" w:rsidP="00EC0C62">
      <w:pPr>
        <w:pStyle w:val="paragraph"/>
        <w:spacing w:beforeAutospacing="0" w:after="0" w:afterAutospacing="0" w:line="240" w:lineRule="auto"/>
        <w:ind w:firstLine="720"/>
        <w:jc w:val="both"/>
        <w:rPr>
          <w:rFonts w:asciiTheme="minorHAnsi" w:hAnsiTheme="minorHAnsi" w:cstheme="minorHAnsi"/>
        </w:rPr>
      </w:pPr>
      <w:r w:rsidRPr="00BB7B3D">
        <w:rPr>
          <w:rFonts w:asciiTheme="minorHAnsi" w:hAnsiTheme="minorHAnsi" w:cstheme="minorHAnsi"/>
        </w:rPr>
        <w:t>2023. gada 20. – 23. martā P</w:t>
      </w:r>
      <w:r w:rsidR="00294D00" w:rsidRPr="00BB7B3D">
        <w:rPr>
          <w:rFonts w:asciiTheme="minorHAnsi" w:hAnsiTheme="minorHAnsi" w:cstheme="minorHAnsi"/>
        </w:rPr>
        <w:t>asaules Veselības organizācijas</w:t>
      </w:r>
      <w:r w:rsidRPr="00BB7B3D">
        <w:rPr>
          <w:rFonts w:asciiTheme="minorHAnsi" w:hAnsiTheme="minorHAnsi" w:cstheme="minorHAnsi"/>
        </w:rPr>
        <w:t xml:space="preserve"> Imunizācijas ekspertu stratēģiskā padome (SAGE) sanāksmē pārskatīja Covid-19 vakcinācijas riska grupu prioritātes, </w:t>
      </w:r>
      <w:proofErr w:type="spellStart"/>
      <w:r w:rsidRPr="00BB7B3D">
        <w:rPr>
          <w:rFonts w:asciiTheme="minorHAnsi" w:hAnsiTheme="minorHAnsi" w:cstheme="minorHAnsi"/>
        </w:rPr>
        <w:t>uzsvērot</w:t>
      </w:r>
      <w:proofErr w:type="spellEnd"/>
      <w:r w:rsidRPr="00BB7B3D">
        <w:rPr>
          <w:rFonts w:asciiTheme="minorHAnsi" w:hAnsiTheme="minorHAnsi" w:cstheme="minorHAnsi"/>
        </w:rPr>
        <w:t xml:space="preserve">, ka augstas prioritātes grupā esošajiem indivīdiem ieteicams veikt </w:t>
      </w:r>
      <w:proofErr w:type="spellStart"/>
      <w:r w:rsidRPr="00BB7B3D">
        <w:rPr>
          <w:rFonts w:asciiTheme="minorHAnsi" w:hAnsiTheme="minorHAnsi" w:cstheme="minorHAnsi"/>
        </w:rPr>
        <w:t>balstvakcināciju</w:t>
      </w:r>
      <w:proofErr w:type="spellEnd"/>
      <w:r w:rsidRPr="00BB7B3D">
        <w:rPr>
          <w:rFonts w:asciiTheme="minorHAnsi" w:hAnsiTheme="minorHAnsi" w:cstheme="minorHAnsi"/>
        </w:rPr>
        <w:t xml:space="preserve"> 6 vai 12 mēnešus pēc pēdējās saņemtas vakcīnas devas, nosakot intervālu atkarībā no tādiem faktoriem kā vecums un </w:t>
      </w:r>
      <w:proofErr w:type="spellStart"/>
      <w:r w:rsidRPr="00BB7B3D">
        <w:rPr>
          <w:rFonts w:asciiTheme="minorHAnsi" w:hAnsiTheme="minorHAnsi" w:cstheme="minorHAnsi"/>
        </w:rPr>
        <w:t>imūnkompromitējošs</w:t>
      </w:r>
      <w:proofErr w:type="spellEnd"/>
      <w:r w:rsidRPr="00BB7B3D">
        <w:rPr>
          <w:rFonts w:asciiTheme="minorHAnsi" w:hAnsiTheme="minorHAnsi" w:cstheme="minorHAnsi"/>
        </w:rPr>
        <w:t xml:space="preserve"> veselības stāvoklis</w:t>
      </w:r>
      <w:r w:rsidRPr="00BB7B3D">
        <w:rPr>
          <w:rStyle w:val="FootnoteReference"/>
          <w:rFonts w:asciiTheme="minorHAnsi" w:hAnsiTheme="minorHAnsi" w:cstheme="minorHAnsi"/>
        </w:rPr>
        <w:footnoteReference w:id="1"/>
      </w:r>
      <w:r w:rsidRPr="00BB7B3D">
        <w:rPr>
          <w:rFonts w:asciiTheme="minorHAnsi" w:hAnsiTheme="minorHAnsi" w:cstheme="minorHAnsi"/>
        </w:rPr>
        <w:t>.</w:t>
      </w:r>
    </w:p>
    <w:p w14:paraId="3F49D68D" w14:textId="77777777" w:rsidR="00EC0C62" w:rsidRPr="00BB7B3D" w:rsidRDefault="00EC0C62" w:rsidP="00EC0C62">
      <w:pPr>
        <w:pStyle w:val="paragraph"/>
        <w:spacing w:beforeAutospacing="0" w:after="0" w:afterAutospacing="0" w:line="240" w:lineRule="auto"/>
        <w:jc w:val="both"/>
        <w:rPr>
          <w:rFonts w:asciiTheme="minorHAnsi" w:hAnsiTheme="minorHAnsi" w:cstheme="minorHAnsi"/>
        </w:rPr>
      </w:pPr>
    </w:p>
    <w:p w14:paraId="0EB8B445" w14:textId="77777777" w:rsidR="00EC0C62" w:rsidRPr="00BB7B3D" w:rsidRDefault="00000000" w:rsidP="00EC0C62">
      <w:pPr>
        <w:pStyle w:val="paragraph"/>
        <w:spacing w:beforeAutospacing="0" w:after="0" w:afterAutospacing="0" w:line="240" w:lineRule="auto"/>
        <w:jc w:val="both"/>
        <w:rPr>
          <w:rFonts w:asciiTheme="minorHAnsi" w:hAnsiTheme="minorHAnsi" w:cstheme="minorHAnsi"/>
          <w:b/>
          <w:bCs/>
          <w:i/>
          <w:iCs/>
        </w:rPr>
      </w:pPr>
      <w:r w:rsidRPr="00BB7B3D">
        <w:rPr>
          <w:rFonts w:asciiTheme="minorHAnsi" w:hAnsiTheme="minorHAnsi" w:cstheme="minorHAnsi"/>
          <w:b/>
          <w:bCs/>
          <w:i/>
          <w:iCs/>
        </w:rPr>
        <w:t>ECDC apsvērumi par vakcināciju pret Covid-19</w:t>
      </w:r>
    </w:p>
    <w:p w14:paraId="16D43170" w14:textId="5323FE8F" w:rsidR="00EC0C62" w:rsidRPr="00BB7B3D" w:rsidRDefault="00000000" w:rsidP="00EC0C62">
      <w:pPr>
        <w:pStyle w:val="paragraph"/>
        <w:spacing w:beforeAutospacing="0" w:after="0" w:afterAutospacing="0" w:line="240" w:lineRule="auto"/>
        <w:ind w:firstLine="720"/>
        <w:jc w:val="both"/>
        <w:rPr>
          <w:rFonts w:asciiTheme="minorHAnsi" w:hAnsiTheme="minorHAnsi" w:cstheme="minorHAnsi"/>
        </w:rPr>
      </w:pPr>
      <w:r w:rsidRPr="00BB7B3D">
        <w:rPr>
          <w:rFonts w:asciiTheme="minorHAnsi" w:hAnsiTheme="minorHAnsi" w:cstheme="minorHAnsi"/>
        </w:rPr>
        <w:t>ECDC publicētais tehniskais dokuments par sabiedrības veselības apsvērumiem par Covid-19 vakcināciju 2023. gadam</w:t>
      </w:r>
      <w:r w:rsidRPr="00BB7B3D">
        <w:rPr>
          <w:rStyle w:val="FootnoteReference"/>
          <w:rFonts w:asciiTheme="minorHAnsi" w:hAnsiTheme="minorHAnsi" w:cstheme="minorHAnsi"/>
        </w:rPr>
        <w:footnoteReference w:id="2"/>
      </w:r>
      <w:r w:rsidRPr="00BB7B3D">
        <w:rPr>
          <w:rFonts w:asciiTheme="minorHAnsi" w:hAnsiTheme="minorHAnsi" w:cstheme="minorHAnsi"/>
        </w:rPr>
        <w:t>, sniedz pārskatu ne tikai par pieejamajiem zinātniskajiem pierādījumiem un epidemioloģisko situāciju, bet arī metodiskos ieteikumus Covid-19 vakcinācijas kampaņas plānošanai 2023. gadā.</w:t>
      </w:r>
    </w:p>
    <w:p w14:paraId="65794BEF" w14:textId="77777777" w:rsidR="00EC0C62" w:rsidRPr="00BB7B3D" w:rsidRDefault="00000000" w:rsidP="00EC0C62">
      <w:pPr>
        <w:pStyle w:val="paragraph"/>
        <w:spacing w:beforeAutospacing="0" w:after="0" w:afterAutospacing="0" w:line="240" w:lineRule="auto"/>
        <w:ind w:firstLine="720"/>
        <w:jc w:val="both"/>
        <w:rPr>
          <w:rFonts w:asciiTheme="minorHAnsi" w:hAnsiTheme="minorHAnsi" w:cstheme="minorHAnsi"/>
        </w:rPr>
      </w:pPr>
      <w:r w:rsidRPr="00BB7B3D">
        <w:rPr>
          <w:rFonts w:asciiTheme="minorHAnsi" w:hAnsiTheme="minorHAnsi" w:cstheme="minorHAnsi"/>
        </w:rPr>
        <w:t xml:space="preserve">ECDC aprēķini norāda, ka ja 2023. gada rudens vakcinācijas kampaņa sasniegs  augstu vakcinācijas aptveri senioru vidū, tā ļaus līdz pat 32% samazināt ar Covid-19 saistīto </w:t>
      </w:r>
      <w:proofErr w:type="spellStart"/>
      <w:r w:rsidRPr="00BB7B3D">
        <w:rPr>
          <w:rFonts w:asciiTheme="minorHAnsi" w:hAnsiTheme="minorHAnsi" w:cstheme="minorHAnsi"/>
        </w:rPr>
        <w:t>stacionēšanas</w:t>
      </w:r>
      <w:proofErr w:type="spellEnd"/>
      <w:r w:rsidRPr="00BB7B3D">
        <w:rPr>
          <w:rFonts w:asciiTheme="minorHAnsi" w:hAnsiTheme="minorHAnsi" w:cstheme="minorHAnsi"/>
        </w:rPr>
        <w:t xml:space="preserve"> epizožu skaitu.       </w:t>
      </w:r>
    </w:p>
    <w:p w14:paraId="741B3ACC" w14:textId="78EC0B8D" w:rsidR="009C1AD9" w:rsidRPr="00BB7B3D" w:rsidRDefault="00000000" w:rsidP="001027D9">
      <w:pPr>
        <w:pStyle w:val="paragraph"/>
        <w:spacing w:beforeAutospacing="0" w:after="0" w:afterAutospacing="0" w:line="240" w:lineRule="auto"/>
        <w:ind w:firstLine="720"/>
        <w:jc w:val="both"/>
        <w:rPr>
          <w:rFonts w:asciiTheme="minorHAnsi" w:hAnsiTheme="minorHAnsi" w:cstheme="minorHAnsi"/>
        </w:rPr>
      </w:pPr>
      <w:r w:rsidRPr="00BB7B3D">
        <w:rPr>
          <w:rFonts w:asciiTheme="minorHAnsi" w:hAnsiTheme="minorHAnsi" w:cstheme="minorHAnsi"/>
        </w:rPr>
        <w:t xml:space="preserve">ECDC eksperti norāda, ka izšķirošas ir rudens vakcinācijas kampaņas, kas vērstas uz vecākām vecuma grupām un citām augsta riska populācijas grupām. ECDC uzskata, ka Covid-19 vakcinācijas aptveres paaugstināšanas mērķis kļūst izaicinošs, jo mazinās  iedzīvotāju </w:t>
      </w:r>
      <w:r w:rsidRPr="00BB7B3D">
        <w:rPr>
          <w:rFonts w:asciiTheme="minorHAnsi" w:hAnsiTheme="minorHAnsi" w:cstheme="minorHAnsi"/>
        </w:rPr>
        <w:lastRenderedPageBreak/>
        <w:t xml:space="preserve">interese </w:t>
      </w:r>
      <w:r w:rsidR="00294D00" w:rsidRPr="00BB7B3D">
        <w:rPr>
          <w:rFonts w:asciiTheme="minorHAnsi" w:hAnsiTheme="minorHAnsi" w:cstheme="minorHAnsi"/>
        </w:rPr>
        <w:t xml:space="preserve">par </w:t>
      </w:r>
      <w:r w:rsidRPr="00BB7B3D">
        <w:rPr>
          <w:rFonts w:asciiTheme="minorHAnsi" w:hAnsiTheme="minorHAnsi" w:cstheme="minorHAnsi"/>
        </w:rPr>
        <w:t>Covid-19 infekcij</w:t>
      </w:r>
      <w:r w:rsidR="00294D00" w:rsidRPr="00BB7B3D">
        <w:rPr>
          <w:rFonts w:asciiTheme="minorHAnsi" w:hAnsiTheme="minorHAnsi" w:cstheme="minorHAnsi"/>
        </w:rPr>
        <w:t>u</w:t>
      </w:r>
      <w:r w:rsidRPr="00BB7B3D">
        <w:rPr>
          <w:rFonts w:asciiTheme="minorHAnsi" w:hAnsiTheme="minorHAnsi" w:cstheme="minorHAnsi"/>
        </w:rPr>
        <w:t xml:space="preserve"> un vakcinācij</w:t>
      </w:r>
      <w:r w:rsidR="00294D00" w:rsidRPr="00BB7B3D">
        <w:rPr>
          <w:rFonts w:asciiTheme="minorHAnsi" w:hAnsiTheme="minorHAnsi" w:cstheme="minorHAnsi"/>
        </w:rPr>
        <w:t>u</w:t>
      </w:r>
      <w:r w:rsidRPr="00BB7B3D">
        <w:rPr>
          <w:rFonts w:asciiTheme="minorHAnsi" w:hAnsiTheme="minorHAnsi" w:cstheme="minorHAnsi"/>
        </w:rPr>
        <w:t>. Faktori, kas izraisa vakcinācijas aptveres samazināšanos ietekm</w:t>
      </w:r>
      <w:r w:rsidR="00294D00" w:rsidRPr="00BB7B3D">
        <w:rPr>
          <w:rFonts w:asciiTheme="minorHAnsi" w:hAnsiTheme="minorHAnsi" w:cstheme="minorHAnsi"/>
        </w:rPr>
        <w:t>ē</w:t>
      </w:r>
      <w:r w:rsidRPr="00BB7B3D">
        <w:rPr>
          <w:rFonts w:asciiTheme="minorHAnsi" w:hAnsiTheme="minorHAnsi" w:cstheme="minorHAnsi"/>
        </w:rPr>
        <w:t xml:space="preserve"> pat iedzīvotāju grupas, kuras iepriekš izradīja interesi vakcinācijai saslimstības pacēluma periodos. Tādēļ turpmāk, organizējot vakcinācijas kampaņas</w:t>
      </w:r>
      <w:r w:rsidR="00294D00" w:rsidRPr="00BB7B3D">
        <w:rPr>
          <w:rFonts w:asciiTheme="minorHAnsi" w:hAnsiTheme="minorHAnsi" w:cstheme="minorHAnsi"/>
        </w:rPr>
        <w:t>,</w:t>
      </w:r>
      <w:r w:rsidRPr="00BB7B3D">
        <w:rPr>
          <w:rFonts w:asciiTheme="minorHAnsi" w:hAnsiTheme="minorHAnsi" w:cstheme="minorHAnsi"/>
        </w:rPr>
        <w:t xml:space="preserve"> vajadzētu akcentēt mērķtiecīgas komunikācijas veidošanu, koncentrējot centienus uz augstas prioritātes grupu sasniegšanu un iesaistīšanu, izmantojot uzticamus un efektīvus informācijas kanālus un ziņnešus, kā arī sniedzot skaidru informāciju par to, kurām grupām vakcinācija tiek rekomendēta, pieejamo vakcīnu veidu un intervāliem starp vakcinācijām. Tāpat iedzīvotājiem jāatgādina kāpēc ir svarīgi būt informētiem par vakcināciju (īpaši tiem, kas pieder riska grupām). Turklāt Covid-19 vakcinācijas pakalpojuma organizēšanas un saņemšanas vienkāršošana veicinātu labāku komunikāciju, atsaucību un  vakcinācijas aptveri</w:t>
      </w:r>
      <w:r w:rsidR="00294D00" w:rsidRPr="00BB7B3D">
        <w:rPr>
          <w:rFonts w:asciiTheme="minorHAnsi" w:hAnsiTheme="minorHAnsi" w:cstheme="minorHAnsi"/>
        </w:rPr>
        <w:t>.</w:t>
      </w:r>
    </w:p>
    <w:p w14:paraId="4614E6A0" w14:textId="77777777" w:rsidR="0002245B" w:rsidRPr="00BB7B3D" w:rsidRDefault="00000000" w:rsidP="0002245B">
      <w:pPr>
        <w:tabs>
          <w:tab w:val="left" w:pos="6521"/>
        </w:tabs>
        <w:spacing w:before="480" w:after="480"/>
        <w:jc w:val="both"/>
        <w:rPr>
          <w:rFonts w:asciiTheme="minorHAnsi" w:hAnsiTheme="minorHAnsi" w:cstheme="minorHAnsi"/>
          <w:sz w:val="24"/>
          <w:szCs w:val="24"/>
        </w:rPr>
      </w:pPr>
      <w:r w:rsidRPr="00BB7B3D">
        <w:rPr>
          <w:rFonts w:asciiTheme="minorHAnsi" w:hAnsiTheme="minorHAnsi" w:cstheme="minorHAnsi"/>
          <w:sz w:val="24"/>
          <w:szCs w:val="24"/>
        </w:rPr>
        <w:t>Direktore</w:t>
      </w:r>
      <w:r w:rsidRPr="00BB7B3D">
        <w:rPr>
          <w:rFonts w:asciiTheme="minorHAnsi" w:hAnsiTheme="minorHAnsi" w:cstheme="minorHAnsi"/>
          <w:sz w:val="24"/>
          <w:szCs w:val="24"/>
        </w:rPr>
        <w:tab/>
      </w:r>
      <w:r w:rsidRPr="00BB7B3D">
        <w:rPr>
          <w:rFonts w:asciiTheme="minorHAnsi" w:hAnsiTheme="minorHAnsi" w:cstheme="minorHAnsi"/>
          <w:noProof/>
          <w:sz w:val="24"/>
          <w:szCs w:val="24"/>
          <w:lang w:eastAsia="lv-LV"/>
        </w:rPr>
        <w:t>Iveta Gavare</w:t>
      </w:r>
    </w:p>
    <w:p w14:paraId="49E743FB" w14:textId="77777777" w:rsidR="00B14824" w:rsidRPr="00BB7B3D" w:rsidRDefault="00000000" w:rsidP="00B14824">
      <w:pPr>
        <w:pStyle w:val="BodyB"/>
        <w:rPr>
          <w:rFonts w:asciiTheme="minorHAnsi" w:hAnsiTheme="minorHAnsi" w:cstheme="minorHAnsi"/>
          <w:sz w:val="20"/>
        </w:rPr>
      </w:pPr>
      <w:r w:rsidRPr="00BB7B3D">
        <w:rPr>
          <w:rFonts w:asciiTheme="minorHAnsi" w:hAnsiTheme="minorHAnsi" w:cstheme="minorHAnsi"/>
          <w:noProof/>
          <w:sz w:val="20"/>
        </w:rPr>
        <w:t>Ilona Čerņakova</w:t>
      </w:r>
      <w:r w:rsidRPr="00BB7B3D">
        <w:rPr>
          <w:rFonts w:asciiTheme="minorHAnsi" w:hAnsiTheme="minorHAnsi" w:cstheme="minorHAnsi"/>
          <w:sz w:val="20"/>
        </w:rPr>
        <w:t xml:space="preserve"> </w:t>
      </w:r>
      <w:r w:rsidRPr="00BB7B3D">
        <w:rPr>
          <w:rFonts w:asciiTheme="minorHAnsi" w:hAnsiTheme="minorHAnsi" w:cstheme="minorHAnsi"/>
          <w:noProof/>
          <w:sz w:val="20"/>
        </w:rPr>
        <w:t>66955725</w:t>
      </w:r>
    </w:p>
    <w:p w14:paraId="53AB88D0" w14:textId="09E9FFDE" w:rsidR="00FC17C3" w:rsidRPr="00BB7B3D" w:rsidRDefault="00000000" w:rsidP="00B14824">
      <w:pPr>
        <w:pStyle w:val="BodyB"/>
        <w:rPr>
          <w:rFonts w:asciiTheme="minorHAnsi" w:hAnsiTheme="minorHAnsi" w:cstheme="minorHAnsi"/>
        </w:rPr>
      </w:pPr>
      <w:r w:rsidRPr="00BB7B3D">
        <w:rPr>
          <w:rFonts w:asciiTheme="minorHAnsi" w:hAnsiTheme="minorHAnsi" w:cstheme="minorHAnsi"/>
          <w:noProof/>
          <w:sz w:val="20"/>
        </w:rPr>
        <w:t>ilona.cernakova@spkc.gov.lv</w:t>
      </w:r>
    </w:p>
    <w:sectPr w:rsidR="00FC17C3" w:rsidRPr="00BB7B3D" w:rsidSect="00472649">
      <w:footerReference w:type="default" r:id="rId8"/>
      <w:foot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2696" w14:textId="77777777" w:rsidR="000917C4" w:rsidRDefault="000917C4">
      <w:r>
        <w:separator/>
      </w:r>
    </w:p>
  </w:endnote>
  <w:endnote w:type="continuationSeparator" w:id="0">
    <w:p w14:paraId="4B1D07C2" w14:textId="77777777" w:rsidR="000917C4" w:rsidRDefault="0009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4B46" w14:textId="77777777" w:rsidR="009C1AD9" w:rsidRDefault="00000000" w:rsidP="009C1AD9">
    <w:pPr>
      <w:pStyle w:val="Footer"/>
      <w:jc w:val="center"/>
    </w:pPr>
    <w:r w:rsidRPr="001B3C4F">
      <w:t>DOKUMENTS PARAKSTĪTS ELEKTRONISKI AR DROŠU ELEKTRONISKO PARAKSTU</w:t>
    </w:r>
  </w:p>
  <w:p w14:paraId="4D099CDD" w14:textId="77777777" w:rsidR="009C1AD9" w:rsidRDefault="00000000" w:rsidP="009C1AD9">
    <w:pPr>
      <w:pStyle w:val="Footer"/>
      <w:jc w:val="center"/>
    </w:pPr>
    <w:r w:rsidRPr="001B3C4F">
      <w:t>UN SATUR LAIKA ZĪMOGU</w:t>
    </w:r>
  </w:p>
  <w:p w14:paraId="04D39B5D" w14:textId="77777777" w:rsidR="00472649" w:rsidRDefault="00000000" w:rsidP="009C1AD9">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A4CB" w14:textId="77777777" w:rsidR="002E02C0" w:rsidRDefault="00000000" w:rsidP="002E02C0">
    <w:pPr>
      <w:pStyle w:val="Footer"/>
      <w:jc w:val="center"/>
    </w:pPr>
    <w:r w:rsidRPr="001B3C4F">
      <w:t>DOKUMENTS PARAKSTĪTS ELEKTRONISKI AR DROŠU ELEKTRONISKO PARAKSTU</w:t>
    </w:r>
  </w:p>
  <w:p w14:paraId="0B07C881" w14:textId="77777777" w:rsidR="002E02C0" w:rsidRDefault="00000000" w:rsidP="002E02C0">
    <w:pPr>
      <w:pStyle w:val="Footer"/>
      <w:jc w:val="center"/>
    </w:pPr>
    <w:r w:rsidRPr="001B3C4F">
      <w:t>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973B" w14:textId="77777777" w:rsidR="000917C4" w:rsidRDefault="000917C4">
      <w:r>
        <w:separator/>
      </w:r>
    </w:p>
  </w:footnote>
  <w:footnote w:type="continuationSeparator" w:id="0">
    <w:p w14:paraId="35AFEE01" w14:textId="77777777" w:rsidR="000917C4" w:rsidRDefault="000917C4">
      <w:r>
        <w:continuationSeparator/>
      </w:r>
    </w:p>
  </w:footnote>
  <w:footnote w:id="1">
    <w:p w14:paraId="37A58F56" w14:textId="77777777" w:rsidR="00EC0C62" w:rsidRPr="00EC0C62" w:rsidRDefault="00000000" w:rsidP="00EC0C62">
      <w:pPr>
        <w:pStyle w:val="paragraph"/>
        <w:spacing w:beforeAutospacing="0" w:after="0" w:afterAutospacing="0"/>
        <w:textAlignment w:val="baseline"/>
        <w:rPr>
          <w:sz w:val="16"/>
          <w:szCs w:val="16"/>
        </w:rPr>
      </w:pPr>
      <w:r w:rsidRPr="00EC0C62">
        <w:rPr>
          <w:rStyle w:val="FootnoteReference"/>
          <w:sz w:val="16"/>
          <w:szCs w:val="16"/>
        </w:rPr>
        <w:footnoteRef/>
      </w:r>
      <w:r w:rsidRPr="00EC0C62">
        <w:rPr>
          <w:sz w:val="16"/>
          <w:szCs w:val="16"/>
        </w:rPr>
        <w:t xml:space="preserve"> </w:t>
      </w:r>
      <w:r w:rsidRPr="00EC0C62">
        <w:fldChar w:fldCharType="begin"/>
      </w:r>
      <w:r w:rsidRPr="00EC0C62">
        <w:rPr>
          <w:sz w:val="16"/>
          <w:szCs w:val="16"/>
        </w:rPr>
        <w:instrText>HYPERLINK "https://cdn.who.int/media/docs/default-source/immunization/sage/2023/march-2023/sage_march_2023_meeting_highlights.pdf?sfvrsn=a8e5be9_4"</w:instrText>
      </w:r>
      <w:r w:rsidRPr="00EC0C62">
        <w:fldChar w:fldCharType="separate"/>
      </w:r>
      <w:r w:rsidRPr="00EC0C62">
        <w:rPr>
          <w:rStyle w:val="Hyperlink"/>
          <w:color w:val="auto"/>
          <w:sz w:val="16"/>
          <w:szCs w:val="16"/>
        </w:rPr>
        <w:t>https://cdn.who.int/media/docs/default-source/immunization/</w:t>
      </w:r>
    </w:p>
    <w:p w14:paraId="30B4D223" w14:textId="6578AA9C" w:rsidR="00EC0C62" w:rsidRPr="00EC0C62" w:rsidRDefault="00000000" w:rsidP="00EC0C62">
      <w:pPr>
        <w:pStyle w:val="FootnoteText"/>
        <w:rPr>
          <w:sz w:val="16"/>
          <w:szCs w:val="16"/>
          <w:lang w:val="en-US"/>
        </w:rPr>
      </w:pPr>
      <w:r w:rsidRPr="00EC0C62">
        <w:rPr>
          <w:rStyle w:val="Hyperlink"/>
          <w:color w:val="auto"/>
          <w:sz w:val="16"/>
          <w:szCs w:val="16"/>
        </w:rPr>
        <w:t>sage/2023/march-2023/sage_march_2023_meeting_highlights.pdf?sfvrsn=a8e5be9_4</w:t>
      </w:r>
      <w:r w:rsidRPr="00EC0C62">
        <w:rPr>
          <w:rStyle w:val="Hyperlink"/>
          <w:color w:val="auto"/>
          <w:sz w:val="16"/>
          <w:szCs w:val="16"/>
        </w:rPr>
        <w:fldChar w:fldCharType="end"/>
      </w:r>
    </w:p>
  </w:footnote>
  <w:footnote w:id="2">
    <w:p w14:paraId="26E98373" w14:textId="6666ED96" w:rsidR="00EC0C62" w:rsidRPr="00EC0C62" w:rsidRDefault="00000000">
      <w:pPr>
        <w:pStyle w:val="FootnoteText"/>
        <w:rPr>
          <w:lang w:val="en-US"/>
        </w:rPr>
      </w:pPr>
      <w:r w:rsidRPr="00EC0C62">
        <w:rPr>
          <w:rStyle w:val="FootnoteReference"/>
          <w:sz w:val="16"/>
          <w:szCs w:val="16"/>
        </w:rPr>
        <w:footnoteRef/>
      </w:r>
      <w:r w:rsidRPr="00EC0C62">
        <w:rPr>
          <w:sz w:val="16"/>
          <w:szCs w:val="16"/>
        </w:rPr>
        <w:t xml:space="preserve"> </w:t>
      </w:r>
      <w:hyperlink r:id="rId1">
        <w:r w:rsidRPr="00EC0C62">
          <w:rPr>
            <w:rStyle w:val="normaltextrun"/>
            <w:sz w:val="16"/>
            <w:szCs w:val="16"/>
            <w:u w:val="single"/>
          </w:rPr>
          <w:t>https://www.ecdc.europa.eu/sites/default/files/documents/covid-19-interim-public-health-considerations-vaccination-2023.pdf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027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F776723"/>
    <w:multiLevelType w:val="hybridMultilevel"/>
    <w:tmpl w:val="75C4787A"/>
    <w:lvl w:ilvl="0" w:tplc="70A2540E">
      <w:start w:val="1"/>
      <w:numFmt w:val="decimal"/>
      <w:lvlText w:val="%1."/>
      <w:lvlJc w:val="left"/>
      <w:pPr>
        <w:ind w:left="720" w:hanging="360"/>
      </w:pPr>
      <w:rPr>
        <w:rFonts w:hint="default"/>
      </w:rPr>
    </w:lvl>
    <w:lvl w:ilvl="1" w:tplc="10BC6BAE">
      <w:start w:val="1"/>
      <w:numFmt w:val="lowerLetter"/>
      <w:lvlText w:val="%2."/>
      <w:lvlJc w:val="left"/>
      <w:pPr>
        <w:ind w:left="1440" w:hanging="360"/>
      </w:pPr>
    </w:lvl>
    <w:lvl w:ilvl="2" w:tplc="8312EEC2" w:tentative="1">
      <w:start w:val="1"/>
      <w:numFmt w:val="lowerRoman"/>
      <w:lvlText w:val="%3."/>
      <w:lvlJc w:val="right"/>
      <w:pPr>
        <w:ind w:left="2160" w:hanging="180"/>
      </w:pPr>
    </w:lvl>
    <w:lvl w:ilvl="3" w:tplc="1C9A8C64" w:tentative="1">
      <w:start w:val="1"/>
      <w:numFmt w:val="decimal"/>
      <w:lvlText w:val="%4."/>
      <w:lvlJc w:val="left"/>
      <w:pPr>
        <w:ind w:left="2880" w:hanging="360"/>
      </w:pPr>
    </w:lvl>
    <w:lvl w:ilvl="4" w:tplc="82069C8A" w:tentative="1">
      <w:start w:val="1"/>
      <w:numFmt w:val="lowerLetter"/>
      <w:lvlText w:val="%5."/>
      <w:lvlJc w:val="left"/>
      <w:pPr>
        <w:ind w:left="3600" w:hanging="360"/>
      </w:pPr>
    </w:lvl>
    <w:lvl w:ilvl="5" w:tplc="E320085C" w:tentative="1">
      <w:start w:val="1"/>
      <w:numFmt w:val="lowerRoman"/>
      <w:lvlText w:val="%6."/>
      <w:lvlJc w:val="right"/>
      <w:pPr>
        <w:ind w:left="4320" w:hanging="180"/>
      </w:pPr>
    </w:lvl>
    <w:lvl w:ilvl="6" w:tplc="F696895C" w:tentative="1">
      <w:start w:val="1"/>
      <w:numFmt w:val="decimal"/>
      <w:lvlText w:val="%7."/>
      <w:lvlJc w:val="left"/>
      <w:pPr>
        <w:ind w:left="5040" w:hanging="360"/>
      </w:pPr>
    </w:lvl>
    <w:lvl w:ilvl="7" w:tplc="2E8E71FE" w:tentative="1">
      <w:start w:val="1"/>
      <w:numFmt w:val="lowerLetter"/>
      <w:lvlText w:val="%8."/>
      <w:lvlJc w:val="left"/>
      <w:pPr>
        <w:ind w:left="5760" w:hanging="360"/>
      </w:pPr>
    </w:lvl>
    <w:lvl w:ilvl="8" w:tplc="A04E3BBA" w:tentative="1">
      <w:start w:val="1"/>
      <w:numFmt w:val="lowerRoman"/>
      <w:lvlText w:val="%9."/>
      <w:lvlJc w:val="right"/>
      <w:pPr>
        <w:ind w:left="6480" w:hanging="180"/>
      </w:pPr>
    </w:lvl>
  </w:abstractNum>
  <w:abstractNum w:abstractNumId="2" w15:restartNumberingAfterBreak="0">
    <w:nsid w:val="78FE6A46"/>
    <w:multiLevelType w:val="multilevel"/>
    <w:tmpl w:val="8C2AC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545719540">
    <w:abstractNumId w:val="1"/>
  </w:num>
  <w:num w:numId="2" w16cid:durableId="2054038426">
    <w:abstractNumId w:val="2"/>
  </w:num>
  <w:num w:numId="3" w16cid:durableId="123308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C1"/>
    <w:rsid w:val="0002245B"/>
    <w:rsid w:val="00060BB1"/>
    <w:rsid w:val="000917C4"/>
    <w:rsid w:val="001027D9"/>
    <w:rsid w:val="0010654A"/>
    <w:rsid w:val="00154B6E"/>
    <w:rsid w:val="001A3020"/>
    <w:rsid w:val="001B3C4F"/>
    <w:rsid w:val="00237C47"/>
    <w:rsid w:val="00247E9C"/>
    <w:rsid w:val="00294D00"/>
    <w:rsid w:val="002E02C0"/>
    <w:rsid w:val="00376EF5"/>
    <w:rsid w:val="0038270C"/>
    <w:rsid w:val="003A0D09"/>
    <w:rsid w:val="003B25C1"/>
    <w:rsid w:val="003B63FB"/>
    <w:rsid w:val="003F2940"/>
    <w:rsid w:val="003F6412"/>
    <w:rsid w:val="004568DF"/>
    <w:rsid w:val="00456D43"/>
    <w:rsid w:val="00460383"/>
    <w:rsid w:val="00472649"/>
    <w:rsid w:val="004D5BEB"/>
    <w:rsid w:val="005611A3"/>
    <w:rsid w:val="00587CC8"/>
    <w:rsid w:val="005B1FEE"/>
    <w:rsid w:val="005C1DE2"/>
    <w:rsid w:val="005D3381"/>
    <w:rsid w:val="006D3FD6"/>
    <w:rsid w:val="006E1251"/>
    <w:rsid w:val="007E2164"/>
    <w:rsid w:val="00893003"/>
    <w:rsid w:val="008B6D06"/>
    <w:rsid w:val="008B742D"/>
    <w:rsid w:val="0091568D"/>
    <w:rsid w:val="0094267D"/>
    <w:rsid w:val="00987215"/>
    <w:rsid w:val="00994AA3"/>
    <w:rsid w:val="009C1AD9"/>
    <w:rsid w:val="009E26F3"/>
    <w:rsid w:val="00A23AAC"/>
    <w:rsid w:val="00A24A6B"/>
    <w:rsid w:val="00A46416"/>
    <w:rsid w:val="00A91007"/>
    <w:rsid w:val="00B14824"/>
    <w:rsid w:val="00B16961"/>
    <w:rsid w:val="00B76951"/>
    <w:rsid w:val="00B86B76"/>
    <w:rsid w:val="00BB7B3D"/>
    <w:rsid w:val="00C30975"/>
    <w:rsid w:val="00CA27BF"/>
    <w:rsid w:val="00D51E44"/>
    <w:rsid w:val="00DC0153"/>
    <w:rsid w:val="00DC1881"/>
    <w:rsid w:val="00DD342F"/>
    <w:rsid w:val="00E10BEB"/>
    <w:rsid w:val="00E267C0"/>
    <w:rsid w:val="00E402D8"/>
    <w:rsid w:val="00EB3F1C"/>
    <w:rsid w:val="00EC0C62"/>
    <w:rsid w:val="00EC6B3B"/>
    <w:rsid w:val="00EE4551"/>
    <w:rsid w:val="00F14672"/>
    <w:rsid w:val="00F44453"/>
    <w:rsid w:val="00FC17C3"/>
    <w:rsid w:val="00FD7F3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4:docId w14:val="70C87C06"/>
  <w15:docId w15:val="{6CC21A28-37F8-4964-8582-919A7B3A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6B"/>
    <w:rPr>
      <w:rFonts w:eastAsia="Times New Roman"/>
      <w:lang w:eastAsia="en-US"/>
    </w:rPr>
  </w:style>
  <w:style w:type="paragraph" w:styleId="Heading1">
    <w:name w:val="heading 1"/>
    <w:basedOn w:val="Normal"/>
    <w:next w:val="Normal"/>
    <w:link w:val="Heading1Char"/>
    <w:uiPriority w:val="9"/>
    <w:qFormat/>
    <w:rsid w:val="00994AA3"/>
    <w:pPr>
      <w:keepNext/>
      <w:jc w:val="center"/>
      <w:outlineLvl w:val="0"/>
    </w:pPr>
    <w:rPr>
      <w:b/>
      <w:bCs/>
    </w:rPr>
  </w:style>
  <w:style w:type="paragraph" w:styleId="Heading2">
    <w:name w:val="heading 2"/>
    <w:basedOn w:val="Normal"/>
    <w:next w:val="Normal"/>
    <w:link w:val="Heading2Char"/>
    <w:qFormat/>
    <w:rsid w:val="00994AA3"/>
    <w:pPr>
      <w:keepNext/>
      <w:tabs>
        <w:tab w:val="num" w:pos="495"/>
      </w:tabs>
      <w:ind w:left="495" w:hanging="495"/>
      <w:outlineLvl w:val="1"/>
    </w:pPr>
    <w:rPr>
      <w:b/>
    </w:rPr>
  </w:style>
  <w:style w:type="paragraph" w:styleId="Heading3">
    <w:name w:val="heading 3"/>
    <w:basedOn w:val="Normal"/>
    <w:next w:val="Normal"/>
    <w:link w:val="Heading3Char"/>
    <w:qFormat/>
    <w:rsid w:val="00994AA3"/>
    <w:pPr>
      <w:keepNext/>
      <w:outlineLvl w:val="2"/>
    </w:pPr>
    <w:rPr>
      <w:b/>
      <w:color w:val="FF0000"/>
      <w:sz w:val="44"/>
    </w:rPr>
  </w:style>
  <w:style w:type="paragraph" w:styleId="Heading4">
    <w:name w:val="heading 4"/>
    <w:basedOn w:val="Normal"/>
    <w:link w:val="Heading4Char"/>
    <w:uiPriority w:val="9"/>
    <w:qFormat/>
    <w:rsid w:val="00994AA3"/>
    <w:pPr>
      <w:spacing w:before="100" w:beforeAutospacing="1" w:after="100" w:afterAutospacing="1"/>
      <w:outlineLvl w:val="3"/>
    </w:pPr>
    <w:rPr>
      <w:b/>
      <w:bCs/>
    </w:rPr>
  </w:style>
  <w:style w:type="paragraph" w:styleId="Heading5">
    <w:name w:val="heading 5"/>
    <w:basedOn w:val="Normal"/>
    <w:next w:val="Normal"/>
    <w:link w:val="Heading5Char"/>
    <w:uiPriority w:val="9"/>
    <w:qFormat/>
    <w:rsid w:val="00994AA3"/>
    <w:pPr>
      <w:spacing w:before="240" w:after="60"/>
      <w:outlineLvl w:val="4"/>
    </w:pPr>
    <w:rPr>
      <w:rFonts w:ascii="Calibri" w:hAnsi="Calibri"/>
      <w:b/>
      <w:bCs/>
      <w:i/>
      <w:iCs/>
      <w:sz w:val="26"/>
      <w:szCs w:val="26"/>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4AA3"/>
    <w:rPr>
      <w:b/>
      <w:bCs/>
      <w:sz w:val="24"/>
      <w:szCs w:val="24"/>
    </w:rPr>
  </w:style>
  <w:style w:type="character" w:customStyle="1" w:styleId="Heading2Char">
    <w:name w:val="Heading 2 Char"/>
    <w:link w:val="Heading2"/>
    <w:rsid w:val="00994AA3"/>
    <w:rPr>
      <w:b/>
      <w:sz w:val="24"/>
    </w:rPr>
  </w:style>
  <w:style w:type="character" w:customStyle="1" w:styleId="Heading3Char">
    <w:name w:val="Heading 3 Char"/>
    <w:link w:val="Heading3"/>
    <w:rsid w:val="00994AA3"/>
    <w:rPr>
      <w:b/>
      <w:color w:val="FF0000"/>
      <w:sz w:val="44"/>
    </w:rPr>
  </w:style>
  <w:style w:type="character" w:customStyle="1" w:styleId="Heading4Char">
    <w:name w:val="Heading 4 Char"/>
    <w:link w:val="Heading4"/>
    <w:uiPriority w:val="9"/>
    <w:rsid w:val="00994AA3"/>
    <w:rPr>
      <w:b/>
      <w:bCs/>
      <w:sz w:val="24"/>
      <w:szCs w:val="24"/>
    </w:rPr>
  </w:style>
  <w:style w:type="character" w:customStyle="1" w:styleId="Heading5Char">
    <w:name w:val="Heading 5 Char"/>
    <w:link w:val="Heading5"/>
    <w:uiPriority w:val="9"/>
    <w:rsid w:val="00994AA3"/>
    <w:rPr>
      <w:rFonts w:ascii="Calibri" w:hAnsi="Calibri"/>
      <w:b/>
      <w:bCs/>
      <w:i/>
      <w:iCs/>
      <w:sz w:val="26"/>
      <w:szCs w:val="26"/>
      <w:lang w:val="en-AU" w:eastAsia="x-none"/>
    </w:rPr>
  </w:style>
  <w:style w:type="paragraph" w:styleId="NoSpacing">
    <w:name w:val="No Spacing"/>
    <w:uiPriority w:val="1"/>
    <w:qFormat/>
    <w:rsid w:val="00994AA3"/>
    <w:rPr>
      <w:rFonts w:ascii="Calibri" w:hAnsi="Calibri"/>
      <w:sz w:val="22"/>
      <w:szCs w:val="22"/>
      <w:lang w:eastAsia="en-US"/>
    </w:rPr>
  </w:style>
  <w:style w:type="paragraph" w:styleId="ListParagraph">
    <w:name w:val="List Paragraph"/>
    <w:basedOn w:val="Normal"/>
    <w:uiPriority w:val="34"/>
    <w:qFormat/>
    <w:rsid w:val="00994AA3"/>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29"/>
    <w:qFormat/>
    <w:rsid w:val="00994AA3"/>
    <w:rPr>
      <w:i/>
      <w:sz w:val="28"/>
      <w:szCs w:val="28"/>
    </w:rPr>
  </w:style>
  <w:style w:type="character" w:customStyle="1" w:styleId="QuoteChar">
    <w:name w:val="Quote Char"/>
    <w:link w:val="Quote"/>
    <w:uiPriority w:val="29"/>
    <w:rsid w:val="00994AA3"/>
    <w:rPr>
      <w:i/>
      <w:sz w:val="28"/>
      <w:szCs w:val="28"/>
    </w:rPr>
  </w:style>
  <w:style w:type="paragraph" w:styleId="Header">
    <w:name w:val="header"/>
    <w:basedOn w:val="Normal"/>
    <w:link w:val="HeaderChar"/>
    <w:rsid w:val="00A24A6B"/>
    <w:pPr>
      <w:tabs>
        <w:tab w:val="center" w:pos="4320"/>
        <w:tab w:val="right" w:pos="8640"/>
      </w:tabs>
    </w:pPr>
    <w:rPr>
      <w:rFonts w:ascii="Arial" w:hAnsi="Arial"/>
      <w:sz w:val="24"/>
    </w:rPr>
  </w:style>
  <w:style w:type="character" w:customStyle="1" w:styleId="HeaderChar">
    <w:name w:val="Header Char"/>
    <w:link w:val="Header"/>
    <w:rsid w:val="00A24A6B"/>
    <w:rPr>
      <w:rFonts w:ascii="Arial" w:eastAsia="Times New Roman" w:hAnsi="Arial"/>
      <w:sz w:val="24"/>
      <w:lang w:eastAsia="en-US"/>
    </w:rPr>
  </w:style>
  <w:style w:type="table" w:styleId="TableGrid">
    <w:name w:val="Table Grid"/>
    <w:basedOn w:val="TableNormal"/>
    <w:uiPriority w:val="59"/>
    <w:rsid w:val="00A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72649"/>
    <w:pPr>
      <w:tabs>
        <w:tab w:val="center" w:pos="4153"/>
        <w:tab w:val="right" w:pos="8306"/>
      </w:tabs>
    </w:pPr>
  </w:style>
  <w:style w:type="character" w:customStyle="1" w:styleId="FooterChar">
    <w:name w:val="Footer Char"/>
    <w:link w:val="Footer"/>
    <w:uiPriority w:val="99"/>
    <w:rsid w:val="00472649"/>
    <w:rPr>
      <w:rFonts w:eastAsia="Times New Roman"/>
      <w:lang w:eastAsia="en-US"/>
    </w:rPr>
  </w:style>
  <w:style w:type="paragraph" w:customStyle="1" w:styleId="BodyB">
    <w:name w:val="Body B"/>
    <w:rsid w:val="005D3381"/>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paragraph">
    <w:name w:val="paragraph"/>
    <w:basedOn w:val="Normal"/>
    <w:uiPriority w:val="1"/>
    <w:rsid w:val="00EC0C62"/>
    <w:pPr>
      <w:spacing w:beforeAutospacing="1" w:after="160" w:afterAutospacing="1" w:line="259" w:lineRule="auto"/>
    </w:pPr>
    <w:rPr>
      <w:sz w:val="24"/>
      <w:szCs w:val="24"/>
      <w:lang w:eastAsia="lv-LV"/>
    </w:rPr>
  </w:style>
  <w:style w:type="paragraph" w:styleId="FootnoteText">
    <w:name w:val="footnote text"/>
    <w:basedOn w:val="Normal"/>
    <w:link w:val="FootnoteTextChar"/>
    <w:uiPriority w:val="99"/>
    <w:semiHidden/>
    <w:unhideWhenUsed/>
    <w:rsid w:val="00EC0C62"/>
  </w:style>
  <w:style w:type="character" w:customStyle="1" w:styleId="FootnoteTextChar">
    <w:name w:val="Footnote Text Char"/>
    <w:basedOn w:val="DefaultParagraphFont"/>
    <w:link w:val="FootnoteText"/>
    <w:uiPriority w:val="99"/>
    <w:semiHidden/>
    <w:rsid w:val="00EC0C62"/>
    <w:rPr>
      <w:rFonts w:eastAsia="Times New Roman"/>
      <w:lang w:eastAsia="en-US"/>
    </w:rPr>
  </w:style>
  <w:style w:type="character" w:styleId="FootnoteReference">
    <w:name w:val="footnote reference"/>
    <w:basedOn w:val="DefaultParagraphFont"/>
    <w:uiPriority w:val="99"/>
    <w:semiHidden/>
    <w:unhideWhenUsed/>
    <w:rsid w:val="00EC0C62"/>
    <w:rPr>
      <w:vertAlign w:val="superscript"/>
    </w:rPr>
  </w:style>
  <w:style w:type="character" w:styleId="Hyperlink">
    <w:name w:val="Hyperlink"/>
    <w:uiPriority w:val="99"/>
    <w:unhideWhenUsed/>
    <w:rsid w:val="00EC0C62"/>
    <w:rPr>
      <w:color w:val="0563C1"/>
      <w:u w:val="single"/>
    </w:rPr>
  </w:style>
  <w:style w:type="character" w:customStyle="1" w:styleId="normaltextrun">
    <w:name w:val="normaltextrun"/>
    <w:basedOn w:val="DefaultParagraphFont"/>
    <w:rsid w:val="00EC0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cdc.europa.eu/sites/default/files/documents/covid-19-interim-public-health-considerations-vaccination-20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pavlovica\Desktop\NAMEJS_DOKI\Rikojums.dot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752FD-3B31-4BC8-8F62-8D2F4338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Rikojums</Template>
  <TotalTime>1</TotalTime>
  <Pages>2</Pages>
  <Words>2509</Words>
  <Characters>1431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Pavlovica</dc:creator>
  <cp:lastModifiedBy>Anita Zolmane</cp:lastModifiedBy>
  <cp:revision>2</cp:revision>
  <cp:lastPrinted>2016-02-15T06:53:00Z</cp:lastPrinted>
  <dcterms:created xsi:type="dcterms:W3CDTF">2023-04-26T11:51:00Z</dcterms:created>
  <dcterms:modified xsi:type="dcterms:W3CDTF">2023-04-26T11:51:00Z</dcterms:modified>
</cp:coreProperties>
</file>