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D4778" w14:textId="77777777" w:rsidR="00D15F3D" w:rsidRDefault="00D15F3D" w:rsidP="00D15F3D">
      <w:pPr>
        <w:pStyle w:val="Paraststmeklis"/>
        <w:spacing w:before="0" w:beforeAutospacing="0" w:after="0" w:afterAutospacing="0"/>
        <w:ind w:firstLine="567"/>
        <w:jc w:val="both"/>
        <w:rPr>
          <w:color w:val="000000"/>
          <w:sz w:val="20"/>
          <w:szCs w:val="20"/>
        </w:rPr>
      </w:pPr>
      <w:r>
        <w:rPr>
          <w:rStyle w:val="xxcontentpasted1"/>
          <w:rFonts w:ascii="Calibri" w:hAnsi="Calibri" w:cs="Calibri"/>
          <w:color w:val="000000"/>
          <w:bdr w:val="none" w:sz="0" w:space="0" w:color="auto" w:frame="1"/>
        </w:rPr>
        <w:t>Slimību profilakses un kontroles centrs (turpmāk – Centrs) informē, ka valsts apmaksātās bērnu vakcinācijas pret ērču encefalītu kārtība ir noteikta Ministru kabineta 2000. gada 26. septembra noteikumos Nr.330 „Vakcinācijas noteikumi” (turpmāk – Noteikumi), proti – pret ērču encefalītu vakcinē bērnus no viena gada vecuma līdz 18 gadu vecuma sasniegšanai: </w:t>
      </w:r>
    </w:p>
    <w:p w14:paraId="59FB87C8" w14:textId="77777777" w:rsidR="00D15F3D" w:rsidRDefault="00D15F3D" w:rsidP="00D15F3D">
      <w:pPr>
        <w:pStyle w:val="Paraststmeklis"/>
        <w:spacing w:before="0" w:beforeAutospacing="0" w:after="0" w:afterAutospacing="0"/>
        <w:ind w:firstLine="567"/>
        <w:jc w:val="both"/>
        <w:rPr>
          <w:color w:val="000000"/>
          <w:sz w:val="20"/>
          <w:szCs w:val="20"/>
        </w:rPr>
      </w:pPr>
      <w:r>
        <w:rPr>
          <w:rStyle w:val="xxcontentpasted1"/>
          <w:rFonts w:ascii="Calibri" w:hAnsi="Calibri" w:cs="Calibri"/>
          <w:color w:val="000000"/>
          <w:bdr w:val="none" w:sz="0" w:space="0" w:color="auto" w:frame="1"/>
        </w:rPr>
        <w:t>23.</w:t>
      </w:r>
      <w:r>
        <w:rPr>
          <w:rStyle w:val="xxcontentpasted1"/>
          <w:rFonts w:ascii="Calibri" w:hAnsi="Calibri" w:cs="Calibri"/>
          <w:color w:val="000000"/>
          <w:bdr w:val="none" w:sz="0" w:space="0" w:color="auto" w:frame="1"/>
          <w:vertAlign w:val="superscript"/>
        </w:rPr>
        <w:t>1</w:t>
      </w:r>
      <w:r>
        <w:rPr>
          <w:rStyle w:val="xxcontentpasted1"/>
          <w:rFonts w:ascii="Calibri" w:hAnsi="Calibri" w:cs="Calibri"/>
          <w:color w:val="000000"/>
          <w:bdr w:val="none" w:sz="0" w:space="0" w:color="auto" w:frame="1"/>
        </w:rPr>
        <w:t xml:space="preserve">1. teritorijās, kurās saskaņā ar Slimību profilakses un kontroles centra epidemioloģiskās uzraudzības datiem ir visaugstākā saslimstība ar ērču encefalītu (ērču encefalīta endēmiskās teritorijās), ja bērna deklarētā dzīvesvieta ir ērču encefalīta endēmiskajā teritorijā. Vakcināciju plāno un veic ģimenes ārsts, kura </w:t>
      </w:r>
      <w:proofErr w:type="spellStart"/>
      <w:r>
        <w:rPr>
          <w:rStyle w:val="xxcontentpasted1"/>
          <w:rFonts w:ascii="Calibri" w:hAnsi="Calibri" w:cs="Calibri"/>
          <w:color w:val="000000"/>
          <w:bdr w:val="none" w:sz="0" w:space="0" w:color="auto" w:frame="1"/>
        </w:rPr>
        <w:t>pamatprakse</w:t>
      </w:r>
      <w:proofErr w:type="spellEnd"/>
      <w:r>
        <w:rPr>
          <w:rStyle w:val="xxcontentpasted1"/>
          <w:rFonts w:ascii="Calibri" w:hAnsi="Calibri" w:cs="Calibri"/>
          <w:color w:val="000000"/>
          <w:bdr w:val="none" w:sz="0" w:space="0" w:color="auto" w:frame="1"/>
        </w:rPr>
        <w:t xml:space="preserve"> ir attiecīgajā teritorijā. </w:t>
      </w:r>
    </w:p>
    <w:p w14:paraId="2194DE8C" w14:textId="77777777" w:rsidR="00D15F3D" w:rsidRDefault="00D15F3D" w:rsidP="00D15F3D">
      <w:pPr>
        <w:pStyle w:val="Paraststmeklis"/>
        <w:spacing w:before="0" w:beforeAutospacing="0" w:after="0" w:afterAutospacing="0"/>
        <w:ind w:firstLine="567"/>
        <w:jc w:val="both"/>
        <w:rPr>
          <w:color w:val="000000"/>
          <w:sz w:val="20"/>
          <w:szCs w:val="20"/>
        </w:rPr>
      </w:pPr>
      <w:r>
        <w:rPr>
          <w:rStyle w:val="xxcontentpasted1"/>
          <w:rFonts w:ascii="Calibri" w:hAnsi="Calibri" w:cs="Calibri"/>
          <w:color w:val="000000"/>
          <w:bdr w:val="none" w:sz="0" w:space="0" w:color="auto" w:frame="1"/>
        </w:rPr>
        <w:t>Informējam, ka, veicot epidemioloģiskās uzraudzības datu analīzi par saslimstību ar ērču encefalītu 2018. – 2022. gadā, Centrs ir sagatavojis teritoriju sarakstu valsts apmaksātās bērnu vakcinācijas veikšanai pret ērču encefalītu 2023. gadā (</w:t>
      </w:r>
      <w:hyperlink r:id="rId4" w:tgtFrame="_blank" w:history="1">
        <w:r>
          <w:rPr>
            <w:rStyle w:val="Hipersaite"/>
            <w:rFonts w:ascii="Calibri" w:hAnsi="Calibri" w:cs="Calibri"/>
            <w:color w:val="000000"/>
            <w:bdr w:val="none" w:sz="0" w:space="0" w:color="auto" w:frame="1"/>
          </w:rPr>
          <w:t>https://www.spkc.gov.lv/lv/pret-ercu-encefalitu-berniem</w:t>
        </w:r>
      </w:hyperlink>
      <w:r>
        <w:rPr>
          <w:rStyle w:val="xxcontentpasted1"/>
          <w:rFonts w:ascii="Calibri" w:hAnsi="Calibri" w:cs="Calibri"/>
          <w:color w:val="000000"/>
          <w:bdr w:val="none" w:sz="0" w:space="0" w:color="auto" w:frame="1"/>
        </w:rPr>
        <w:t>). </w:t>
      </w:r>
    </w:p>
    <w:p w14:paraId="672A60FF" w14:textId="77777777" w:rsidR="00D15F3D" w:rsidRDefault="00D15F3D" w:rsidP="00D15F3D">
      <w:pPr>
        <w:pStyle w:val="Paraststmeklis"/>
        <w:spacing w:before="0" w:beforeAutospacing="0" w:after="0" w:afterAutospacing="0"/>
        <w:ind w:firstLine="567"/>
        <w:jc w:val="both"/>
        <w:rPr>
          <w:color w:val="000000"/>
          <w:sz w:val="20"/>
          <w:szCs w:val="20"/>
        </w:rPr>
      </w:pPr>
      <w:r>
        <w:rPr>
          <w:rStyle w:val="xxcontentpasted1"/>
          <w:rFonts w:ascii="Calibri" w:hAnsi="Calibri" w:cs="Calibri"/>
          <w:color w:val="000000"/>
          <w:bdr w:val="none" w:sz="0" w:space="0" w:color="auto" w:frame="1"/>
        </w:rPr>
        <w:t xml:space="preserve">Vēršam Jūsu uzmanību, ka visi bērni, kuriem ir deklarēta dzīves vieta kādā no endēmiskajām teritorijām, ir tiesīgi saņemt valsts apmaksāto vakcināciju pret ērču encefalītu, neatkarīgi no tā, kur atrodas viņa ģimenes ārsta prakse. Ja pacienta deklarētā dzīvesvieta atrodas endēmiskajā teritorijā, bet ģimenes ārsta </w:t>
      </w:r>
      <w:proofErr w:type="spellStart"/>
      <w:r>
        <w:rPr>
          <w:rStyle w:val="xxcontentpasted1"/>
          <w:rFonts w:ascii="Calibri" w:hAnsi="Calibri" w:cs="Calibri"/>
          <w:color w:val="000000"/>
          <w:bdr w:val="none" w:sz="0" w:space="0" w:color="auto" w:frame="1"/>
        </w:rPr>
        <w:t>pamatprakse</w:t>
      </w:r>
      <w:proofErr w:type="spellEnd"/>
      <w:r>
        <w:rPr>
          <w:rStyle w:val="xxcontentpasted1"/>
          <w:rFonts w:ascii="Calibri" w:hAnsi="Calibri" w:cs="Calibri"/>
          <w:color w:val="000000"/>
          <w:bdr w:val="none" w:sz="0" w:space="0" w:color="auto" w:frame="1"/>
        </w:rPr>
        <w:t xml:space="preserve"> ir ārpus norādītās endēmiskās teritorijas, pacientu, pēc iepriekšējās saskaņošanas, vakcinē tie ģimenes ārsti, kuru </w:t>
      </w:r>
      <w:proofErr w:type="spellStart"/>
      <w:r>
        <w:rPr>
          <w:rStyle w:val="xxcontentpasted1"/>
          <w:rFonts w:ascii="Calibri" w:hAnsi="Calibri" w:cs="Calibri"/>
          <w:color w:val="000000"/>
          <w:bdr w:val="none" w:sz="0" w:space="0" w:color="auto" w:frame="1"/>
        </w:rPr>
        <w:t>pamatprakse</w:t>
      </w:r>
      <w:proofErr w:type="spellEnd"/>
      <w:r>
        <w:rPr>
          <w:rStyle w:val="xxcontentpasted1"/>
          <w:rFonts w:ascii="Calibri" w:hAnsi="Calibri" w:cs="Calibri"/>
          <w:color w:val="000000"/>
          <w:bdr w:val="none" w:sz="0" w:space="0" w:color="auto" w:frame="1"/>
        </w:rPr>
        <w:t xml:space="preserve"> atrodas endēmiskajā teritorijā. </w:t>
      </w:r>
    </w:p>
    <w:p w14:paraId="5FD8030E" w14:textId="77777777" w:rsidR="00D15F3D" w:rsidRDefault="00D15F3D" w:rsidP="00D15F3D">
      <w:pPr>
        <w:pStyle w:val="xxcontentpasted11"/>
        <w:spacing w:before="0" w:beforeAutospacing="0" w:after="0" w:afterAutospacing="0"/>
        <w:ind w:firstLine="720"/>
        <w:jc w:val="both"/>
        <w:rPr>
          <w:color w:val="000000"/>
          <w:sz w:val="20"/>
          <w:szCs w:val="20"/>
        </w:rPr>
      </w:pPr>
      <w:r>
        <w:rPr>
          <w:rStyle w:val="xxcontentpasted1"/>
          <w:rFonts w:ascii="Calibri" w:hAnsi="Calibri" w:cs="Calibri"/>
          <w:color w:val="000000"/>
          <w:bdr w:val="none" w:sz="0" w:space="0" w:color="auto" w:frame="1"/>
        </w:rPr>
        <w:t>Ņemot vērā, ka ģimenes ārstu pienākums ir plānot un veikt valsts apmaksāto bērnu vakcināciju pret ērču encefalītu un racionāli izmantot valsts iepirktās vakcīnas, lūdzam jūs iesniegt Centra reģionālajiem epidemiologiem valsts apmaksātās bērnu vakcinācijas plānus (pielikumā). Vakcinācijas plānu veidlapas pieejamas arī Centra tīmekļa vietnes </w:t>
      </w:r>
      <w:hyperlink r:id="rId5" w:tgtFrame="_blank" w:history="1">
        <w:r>
          <w:rPr>
            <w:rStyle w:val="Hipersaite"/>
            <w:rFonts w:ascii="Calibri" w:hAnsi="Calibri" w:cs="Calibri"/>
            <w:color w:val="000000"/>
            <w:bdr w:val="none" w:sz="0" w:space="0" w:color="auto" w:frame="1"/>
          </w:rPr>
          <w:t>https://www.spkc.gov.lv/lv/vakcinacija</w:t>
        </w:r>
      </w:hyperlink>
      <w:r>
        <w:rPr>
          <w:rStyle w:val="xxcontentpasted1"/>
          <w:rFonts w:ascii="Calibri" w:hAnsi="Calibri" w:cs="Calibri"/>
          <w:color w:val="000000"/>
          <w:bdr w:val="none" w:sz="0" w:space="0" w:color="auto" w:frame="1"/>
        </w:rPr>
        <w:t> sadaļā ”Valsts apmaksātā bērnu vakcinācija pret ērču encefalītu”</w:t>
      </w:r>
      <w:r>
        <w:rPr>
          <w:rStyle w:val="xcontentpasted1"/>
          <w:rFonts w:ascii="Calibri" w:hAnsi="Calibri" w:cs="Calibri"/>
          <w:color w:val="000000"/>
          <w:bdr w:val="none" w:sz="0" w:space="0" w:color="auto" w:frame="1"/>
        </w:rPr>
        <w:t>. </w:t>
      </w:r>
    </w:p>
    <w:p w14:paraId="7CFA29EA" w14:textId="77777777" w:rsidR="00D15F3D" w:rsidRDefault="00D15F3D" w:rsidP="00D15F3D">
      <w:pPr>
        <w:pStyle w:val="Paraststmeklis"/>
        <w:spacing w:before="0" w:beforeAutospacing="0" w:after="0" w:afterAutospacing="0"/>
        <w:ind w:firstLine="720"/>
        <w:jc w:val="both"/>
        <w:rPr>
          <w:color w:val="000000"/>
          <w:sz w:val="20"/>
          <w:szCs w:val="20"/>
        </w:rPr>
      </w:pPr>
      <w:r>
        <w:rPr>
          <w:rStyle w:val="xxcontentpasted1"/>
          <w:rFonts w:ascii="Calibri" w:hAnsi="Calibri" w:cs="Calibri"/>
          <w:color w:val="000000"/>
          <w:bdr w:val="none" w:sz="0" w:space="0" w:color="auto" w:frame="1"/>
        </w:rPr>
        <w:t>Lūdzam rūpīgi izvērtēt vakcinējamo bērnu skaitu, viņu vakcinācijas statusu un viņu vecāku attieksmi pret vakcināciju, lai laikus varētu veikt korekcijas kopējā vakcinācijas plānā. </w:t>
      </w:r>
    </w:p>
    <w:p w14:paraId="2427038D" w14:textId="77777777" w:rsidR="00D15F3D" w:rsidRDefault="00D15F3D" w:rsidP="00D15F3D">
      <w:pPr>
        <w:pStyle w:val="Paraststmeklis"/>
        <w:spacing w:before="0" w:beforeAutospacing="0" w:after="0" w:afterAutospacing="0"/>
        <w:ind w:firstLine="720"/>
        <w:jc w:val="both"/>
        <w:rPr>
          <w:color w:val="000000"/>
          <w:sz w:val="20"/>
          <w:szCs w:val="20"/>
        </w:rPr>
      </w:pPr>
      <w:r>
        <w:rPr>
          <w:rStyle w:val="xxcontentpasted1"/>
          <w:rFonts w:ascii="Calibri" w:hAnsi="Calibri" w:cs="Calibri"/>
          <w:color w:val="000000"/>
          <w:bdr w:val="none" w:sz="0" w:space="0" w:color="auto" w:frame="1"/>
        </w:rPr>
        <w:t>Vēršam Jūsu uzmanību, ka katra ģimenes ārsta prakse, ja tajā tiek plānota vakcinācija, gatavo atsevišķu vakcīnu pasūtījuma plānu. Tomēr gadījumos, kad vakcināciju paredzēts veikt, izmantojot kādas vakcinācijas iestādes pakalpojumus, tiek gatavots viens kopīgs vakcinācijas iestādes vakcīnu pasūtījuma plāns, kas apkopo atsevišķās ģimenes ārstu praksēs ieplānoto vakcināciju. Šajā gadījumā plānā ailē “Ģimenes ārsta prakse” ir jāieraksta visas ģimenes ārstu prakses, kuras plāno veikt valsts apmaksāto bērnu vakcināciju pret ērču encefalītu.  </w:t>
      </w:r>
    </w:p>
    <w:p w14:paraId="07BFF059" w14:textId="77777777" w:rsidR="00D15F3D" w:rsidRDefault="00D15F3D" w:rsidP="00D15F3D">
      <w:pPr>
        <w:pStyle w:val="Paraststmeklis"/>
        <w:spacing w:before="0" w:beforeAutospacing="0" w:after="0" w:afterAutospacing="0"/>
        <w:ind w:firstLine="720"/>
        <w:jc w:val="both"/>
        <w:rPr>
          <w:color w:val="000000"/>
          <w:sz w:val="20"/>
          <w:szCs w:val="20"/>
        </w:rPr>
      </w:pPr>
      <w:r>
        <w:rPr>
          <w:rStyle w:val="xxcontentpasted1"/>
          <w:rFonts w:ascii="Calibri" w:hAnsi="Calibri" w:cs="Calibri"/>
          <w:color w:val="000000"/>
          <w:bdr w:val="none" w:sz="0" w:space="0" w:color="auto" w:frame="1"/>
        </w:rPr>
        <w:t>2023. gadā turpināsies arī bāreņu un bez vecāku gādības palikušo bērnu vakcinācija. Iepriekšējo gadu pieredze liecina, ka bāreņus un bez vecāku gādības palikušos bērnus, kuri dzīvo bērnu aprūpes iestādēs un internātskolās, pārsvarā vakcinē ģimenes ārsti, tāpēc aicinām ieplānot arī šo bērnu vakcināciju. Lai nodrošinātu vakcinācijas plānošanu bāreņiem, iesakām nepieciešamības gadījumā sadarboties ar attiecīgo teritoriju bāriņtiesām.[1] </w:t>
      </w:r>
    </w:p>
    <w:p w14:paraId="69743BAE" w14:textId="62151AAA" w:rsidR="00D15F3D" w:rsidRDefault="00D15F3D" w:rsidP="00D15F3D">
      <w:pPr>
        <w:pStyle w:val="Paraststmeklis"/>
        <w:spacing w:before="0" w:beforeAutospacing="0" w:after="0" w:afterAutospacing="0"/>
        <w:ind w:firstLine="567"/>
        <w:jc w:val="both"/>
        <w:rPr>
          <w:rStyle w:val="xxcontentpasted1"/>
          <w:rFonts w:ascii="Calibri" w:hAnsi="Calibri" w:cs="Calibri"/>
          <w:color w:val="000000"/>
          <w:bdr w:val="none" w:sz="0" w:space="0" w:color="auto" w:frame="1"/>
        </w:rPr>
      </w:pPr>
      <w:r>
        <w:rPr>
          <w:rStyle w:val="xxcontentpasted1"/>
          <w:rFonts w:ascii="Calibri" w:hAnsi="Calibri" w:cs="Calibri"/>
          <w:color w:val="000000"/>
          <w:bdr w:val="none" w:sz="0" w:space="0" w:color="auto" w:frame="1"/>
        </w:rPr>
        <w:t xml:space="preserve">Informējam, ka pēc plāna iesniegšanas, vakcinācijas iestādēm laikus ir jāplāno un </w:t>
      </w:r>
      <w:proofErr w:type="spellStart"/>
      <w:r>
        <w:rPr>
          <w:rStyle w:val="xxcontentpasted1"/>
          <w:rFonts w:ascii="Calibri" w:hAnsi="Calibri" w:cs="Calibri"/>
          <w:color w:val="000000"/>
          <w:bdr w:val="none" w:sz="0" w:space="0" w:color="auto" w:frame="1"/>
        </w:rPr>
        <w:t>jāpasūta</w:t>
      </w:r>
      <w:proofErr w:type="spellEnd"/>
      <w:r>
        <w:rPr>
          <w:rStyle w:val="xxcontentpasted1"/>
          <w:rFonts w:ascii="Calibri" w:hAnsi="Calibri" w:cs="Calibri"/>
          <w:color w:val="000000"/>
          <w:bdr w:val="none" w:sz="0" w:space="0" w:color="auto" w:frame="1"/>
        </w:rPr>
        <w:t xml:space="preserve"> nepieciešamais vakcīnas pret ērču encefalītu daudzums. Ikmēneša vakcīnu </w:t>
      </w:r>
      <w:r>
        <w:rPr>
          <w:rStyle w:val="xxcontentpasted1"/>
          <w:rFonts w:ascii="Calibri" w:hAnsi="Calibri" w:cs="Calibri"/>
          <w:color w:val="000000"/>
          <w:bdr w:val="none" w:sz="0" w:space="0" w:color="auto" w:frame="1"/>
        </w:rPr>
        <w:lastRenderedPageBreak/>
        <w:t>pasūtījumi jānoformē, izmantojot Noteikumu 3. pielikuma veidlapu „Iedzīvotāju imunizācijas pārskata un vakcīnu pasūtījuma veidlapa” (turpmāk – veidlapa), un katru mēnesi līdz piektajam datumam iesniedz Centra attiecīgās reģionālās nodaļas epidemiologam veidlapu. Lai pasūtītu vakcīnu pret ērču encefalītu, jāaizpilda veidlapas 9.B. tabula, norādot nepieciešamo vakcīnas devu skaitu. Jūsu ērtībai aizpildīšanai piemērota veidlapa pieejama Centra tīmekļa vietnes (</w:t>
      </w:r>
      <w:hyperlink r:id="rId6" w:tgtFrame="_blank" w:history="1">
        <w:r>
          <w:rPr>
            <w:rStyle w:val="Hipersaite"/>
            <w:rFonts w:ascii="Calibri" w:hAnsi="Calibri" w:cs="Calibri"/>
            <w:color w:val="000000"/>
            <w:bdr w:val="none" w:sz="0" w:space="0" w:color="auto" w:frame="1"/>
          </w:rPr>
          <w:t>www.spkc.gov.lv</w:t>
        </w:r>
      </w:hyperlink>
      <w:r>
        <w:rPr>
          <w:rStyle w:val="xxcontentpasted1"/>
          <w:rFonts w:ascii="Calibri" w:hAnsi="Calibri" w:cs="Calibri"/>
          <w:color w:val="000000"/>
          <w:bdr w:val="none" w:sz="0" w:space="0" w:color="auto" w:frame="1"/>
        </w:rPr>
        <w:t>) sadaļā “Profesionāļiem → Infekcijas slimību informācija profesionāļiem → Vakcinācija[2] →Veidlapas vakcinācijas rezultātu uzskaitei un vakcīnu pasūtījumiem. </w:t>
      </w:r>
    </w:p>
    <w:p w14:paraId="1A24876A" w14:textId="77777777" w:rsidR="00D15F3D" w:rsidRPr="00D15F3D" w:rsidRDefault="00D15F3D" w:rsidP="00D15F3D">
      <w:pPr>
        <w:spacing w:after="0" w:line="240" w:lineRule="auto"/>
        <w:ind w:firstLine="720"/>
        <w:jc w:val="both"/>
        <w:rPr>
          <w:rStyle w:val="xxcontentpasted1"/>
          <w:rFonts w:ascii="Calibri" w:hAnsi="Calibri" w:cs="Calibri"/>
          <w:sz w:val="24"/>
          <w:szCs w:val="24"/>
          <w:bdr w:val="none" w:sz="0" w:space="0" w:color="auto" w:frame="1"/>
          <w:lang w:val="lv-LV" w:eastAsia="lv-LV"/>
        </w:rPr>
      </w:pPr>
      <w:r w:rsidRPr="00D15F3D">
        <w:rPr>
          <w:rStyle w:val="xxcontentpasted1"/>
          <w:rFonts w:ascii="Calibri" w:hAnsi="Calibri" w:cs="Calibri"/>
          <w:sz w:val="24"/>
          <w:szCs w:val="24"/>
          <w:lang w:val="lv-LV" w:eastAsia="lv-LV"/>
        </w:rPr>
        <w:t>Saskaņā ar noslēgto līgumu 2023. gadā valsts apmaksātajai vakcinācijai pret ērču encefalītu tiks izmantotas šādas vakcīnas: bērniem vecumā no 1 līdz 15 gadiem – “</w:t>
      </w:r>
      <w:proofErr w:type="spellStart"/>
      <w:r w:rsidRPr="00D15F3D">
        <w:rPr>
          <w:rStyle w:val="xxcontentpasted1"/>
          <w:rFonts w:ascii="Calibri" w:hAnsi="Calibri" w:cs="Calibri"/>
          <w:sz w:val="24"/>
          <w:szCs w:val="24"/>
          <w:lang w:val="lv-LV" w:eastAsia="lv-LV"/>
        </w:rPr>
        <w:t>TicoVac</w:t>
      </w:r>
      <w:proofErr w:type="spellEnd"/>
      <w:r w:rsidRPr="00D15F3D">
        <w:rPr>
          <w:rStyle w:val="xxcontentpasted1"/>
          <w:rFonts w:ascii="Calibri" w:hAnsi="Calibri" w:cs="Calibri"/>
          <w:sz w:val="24"/>
          <w:szCs w:val="24"/>
          <w:lang w:val="lv-LV" w:eastAsia="lv-LV"/>
        </w:rPr>
        <w:t xml:space="preserve"> 0,25ml”, bērniem vecumā no 16 līdz 17 gadiem –“</w:t>
      </w:r>
      <w:proofErr w:type="spellStart"/>
      <w:r w:rsidRPr="00D15F3D">
        <w:rPr>
          <w:rStyle w:val="xxcontentpasted1"/>
          <w:rFonts w:ascii="Calibri" w:hAnsi="Calibri" w:cs="Calibri"/>
          <w:sz w:val="24"/>
          <w:szCs w:val="24"/>
          <w:lang w:val="lv-LV" w:eastAsia="lv-LV"/>
        </w:rPr>
        <w:t>TicoVac</w:t>
      </w:r>
      <w:proofErr w:type="spellEnd"/>
      <w:r w:rsidRPr="00D15F3D">
        <w:rPr>
          <w:rStyle w:val="xxcontentpasted1"/>
          <w:rFonts w:ascii="Calibri" w:hAnsi="Calibri" w:cs="Calibri"/>
          <w:sz w:val="24"/>
          <w:szCs w:val="24"/>
          <w:lang w:val="lv-LV" w:eastAsia="lv-LV"/>
        </w:rPr>
        <w:t xml:space="preserve"> 0,5ml”. Vakcīnas piegādās SIA “Vakcīna”. Atbilstoši līguma nosacījumiem lietošanas instrukcijai jābūt pievienotai katram preces iepakojumam. Plānojot vakcināciju, lūdzam īpašu uzmanību pievērst rekomendētiem intervāliem starp potēm. </w:t>
      </w:r>
    </w:p>
    <w:p w14:paraId="066BA34F" w14:textId="77777777" w:rsidR="00D15F3D" w:rsidRPr="00D15F3D" w:rsidRDefault="00D15F3D" w:rsidP="00D15F3D">
      <w:pPr>
        <w:spacing w:after="0" w:line="240" w:lineRule="auto"/>
        <w:ind w:firstLine="720"/>
        <w:jc w:val="both"/>
        <w:rPr>
          <w:rStyle w:val="xxcontentpasted1"/>
          <w:rFonts w:ascii="Calibri" w:hAnsi="Calibri" w:cs="Calibri"/>
          <w:sz w:val="24"/>
          <w:szCs w:val="24"/>
          <w:bdr w:val="none" w:sz="0" w:space="0" w:color="auto" w:frame="1"/>
          <w:lang w:val="lv-LV" w:eastAsia="lv-LV"/>
        </w:rPr>
      </w:pPr>
      <w:r w:rsidRPr="00D15F3D">
        <w:rPr>
          <w:rStyle w:val="xxcontentpasted1"/>
          <w:rFonts w:ascii="Calibri" w:hAnsi="Calibri" w:cs="Calibri"/>
          <w:sz w:val="24"/>
          <w:szCs w:val="24"/>
          <w:lang w:val="lv-LV" w:eastAsia="lv-LV"/>
        </w:rPr>
        <w:t>Būsim pateicīgi, ja pielikumā norādītajām Centra e-pasta adresēm elektroniski sniegsiet informāciju arī gadījumos, ja neplānojat veikt bērnu vakcināciju. </w:t>
      </w:r>
    </w:p>
    <w:p w14:paraId="6A64D135" w14:textId="77777777" w:rsidR="00D15F3D" w:rsidRPr="00D15F3D" w:rsidRDefault="00D15F3D" w:rsidP="00D15F3D">
      <w:pPr>
        <w:spacing w:after="0" w:line="240" w:lineRule="auto"/>
        <w:ind w:firstLine="720"/>
        <w:jc w:val="both"/>
        <w:rPr>
          <w:rStyle w:val="xxcontentpasted1"/>
          <w:rFonts w:ascii="Calibri" w:hAnsi="Calibri" w:cs="Calibri"/>
          <w:sz w:val="24"/>
          <w:szCs w:val="24"/>
          <w:bdr w:val="none" w:sz="0" w:space="0" w:color="auto" w:frame="1"/>
          <w:lang w:val="lv-LV" w:eastAsia="lv-LV"/>
        </w:rPr>
      </w:pPr>
      <w:r w:rsidRPr="00D15F3D">
        <w:rPr>
          <w:rStyle w:val="xxcontentpasted1"/>
          <w:rFonts w:ascii="Calibri" w:hAnsi="Calibri" w:cs="Calibri"/>
          <w:sz w:val="24"/>
          <w:szCs w:val="24"/>
          <w:lang w:val="lv-LV" w:eastAsia="lv-LV"/>
        </w:rPr>
        <w:t> </w:t>
      </w:r>
    </w:p>
    <w:p w14:paraId="38BAD158" w14:textId="77777777" w:rsidR="00D15F3D" w:rsidRPr="00D15F3D" w:rsidRDefault="00D15F3D" w:rsidP="00D15F3D">
      <w:pPr>
        <w:spacing w:after="0" w:line="240" w:lineRule="auto"/>
        <w:jc w:val="both"/>
        <w:rPr>
          <w:rStyle w:val="xxcontentpasted1"/>
          <w:rFonts w:ascii="Calibri" w:hAnsi="Calibri" w:cs="Calibri"/>
          <w:sz w:val="24"/>
          <w:szCs w:val="24"/>
          <w:bdr w:val="none" w:sz="0" w:space="0" w:color="auto" w:frame="1"/>
          <w:lang w:val="lv-LV" w:eastAsia="lv-LV"/>
        </w:rPr>
      </w:pPr>
      <w:r w:rsidRPr="00D15F3D">
        <w:rPr>
          <w:rStyle w:val="xxcontentpasted1"/>
          <w:rFonts w:ascii="Calibri" w:hAnsi="Calibri" w:cs="Calibri"/>
          <w:lang w:val="lv-LV" w:eastAsia="lv-LV"/>
        </w:rPr>
        <w:t> </w:t>
      </w:r>
    </w:p>
    <w:p w14:paraId="71FDF6CE" w14:textId="77777777" w:rsidR="00D15F3D" w:rsidRPr="00D15F3D" w:rsidRDefault="00D15F3D" w:rsidP="00D15F3D">
      <w:pPr>
        <w:spacing w:after="0" w:line="240" w:lineRule="auto"/>
        <w:textAlignment w:val="baseline"/>
        <w:rPr>
          <w:rFonts w:ascii="Calibri" w:eastAsia="Times New Roman" w:hAnsi="Calibri" w:cs="Calibri"/>
          <w:color w:val="000000"/>
          <w:kern w:val="0"/>
          <w:sz w:val="24"/>
          <w:szCs w:val="24"/>
          <w:lang w:val="lv-LV" w:eastAsia="lv-LV"/>
          <w14:ligatures w14:val="none"/>
        </w:rPr>
      </w:pPr>
    </w:p>
    <w:p w14:paraId="36F234DF" w14:textId="77777777" w:rsidR="00D15F3D" w:rsidRPr="00D15F3D" w:rsidRDefault="00D15F3D" w:rsidP="00D15F3D">
      <w:pPr>
        <w:spacing w:after="0" w:line="240" w:lineRule="auto"/>
        <w:textAlignment w:val="baseline"/>
        <w:rPr>
          <w:rFonts w:ascii="Times New Roman" w:eastAsia="Times New Roman" w:hAnsi="Times New Roman" w:cs="Times New Roman"/>
          <w:color w:val="000000"/>
          <w:kern w:val="0"/>
          <w:sz w:val="20"/>
          <w:szCs w:val="20"/>
          <w:lang w:val="lv-LV" w:eastAsia="lv-LV"/>
          <w14:ligatures w14:val="none"/>
        </w:rPr>
      </w:pPr>
      <w:r w:rsidRPr="00D15F3D">
        <w:rPr>
          <w:rFonts w:ascii="Times New Roman" w:eastAsia="Times New Roman" w:hAnsi="Times New Roman" w:cs="Times New Roman"/>
          <w:color w:val="000000"/>
          <w:kern w:val="0"/>
          <w:sz w:val="16"/>
          <w:szCs w:val="16"/>
          <w:bdr w:val="none" w:sz="0" w:space="0" w:color="auto" w:frame="1"/>
          <w:lang w:val="lv-LV" w:eastAsia="lv-LV"/>
          <w14:ligatures w14:val="none"/>
        </w:rPr>
        <w:t>[1]</w:t>
      </w:r>
      <w:r w:rsidRPr="00D15F3D">
        <w:rPr>
          <w:rFonts w:ascii="inherit" w:eastAsia="Times New Roman" w:hAnsi="inherit" w:cs="Times New Roman"/>
          <w:color w:val="000000"/>
          <w:kern w:val="0"/>
          <w:sz w:val="16"/>
          <w:szCs w:val="16"/>
          <w:bdr w:val="none" w:sz="0" w:space="0" w:color="auto" w:frame="1"/>
          <w:lang w:val="lv-LV" w:eastAsia="lv-LV"/>
          <w14:ligatures w14:val="none"/>
        </w:rPr>
        <w:t> </w:t>
      </w:r>
      <w:hyperlink r:id="rId7" w:tgtFrame="_blank" w:history="1">
        <w:r w:rsidRPr="00D15F3D">
          <w:rPr>
            <w:rFonts w:ascii="inherit" w:eastAsia="Times New Roman" w:hAnsi="inherit" w:cs="Times New Roman"/>
            <w:color w:val="0000FF"/>
            <w:kern w:val="0"/>
            <w:sz w:val="16"/>
            <w:szCs w:val="16"/>
            <w:u w:val="single"/>
            <w:bdr w:val="none" w:sz="0" w:space="0" w:color="auto" w:frame="1"/>
            <w:lang w:val="lv-LV" w:eastAsia="lv-LV"/>
            <w14:ligatures w14:val="none"/>
          </w:rPr>
          <w:t>http://www.bti.gov.lv/lat/barintiesas/barintiesu_adreses_/</w:t>
        </w:r>
      </w:hyperlink>
      <w:r w:rsidRPr="00D15F3D">
        <w:rPr>
          <w:rFonts w:ascii="inherit" w:eastAsia="Times New Roman" w:hAnsi="inherit" w:cs="Times New Roman"/>
          <w:color w:val="000000"/>
          <w:kern w:val="0"/>
          <w:sz w:val="16"/>
          <w:szCs w:val="16"/>
          <w:bdr w:val="none" w:sz="0" w:space="0" w:color="auto" w:frame="1"/>
          <w:lang w:val="lv-LV" w:eastAsia="lv-LV"/>
          <w14:ligatures w14:val="none"/>
        </w:rPr>
        <w:t> </w:t>
      </w:r>
    </w:p>
    <w:p w14:paraId="04E3288E" w14:textId="77777777" w:rsidR="00D15F3D" w:rsidRPr="00D15F3D" w:rsidRDefault="00D15F3D" w:rsidP="00D15F3D">
      <w:pPr>
        <w:spacing w:after="0" w:line="240" w:lineRule="auto"/>
        <w:textAlignment w:val="baseline"/>
        <w:rPr>
          <w:rFonts w:ascii="Times New Roman" w:eastAsia="Times New Roman" w:hAnsi="Times New Roman" w:cs="Times New Roman"/>
          <w:color w:val="000000"/>
          <w:kern w:val="0"/>
          <w:sz w:val="20"/>
          <w:szCs w:val="20"/>
          <w:lang w:val="lv-LV" w:eastAsia="lv-LV"/>
          <w14:ligatures w14:val="none"/>
        </w:rPr>
      </w:pPr>
      <w:r w:rsidRPr="00D15F3D">
        <w:rPr>
          <w:rFonts w:ascii="Times New Roman" w:eastAsia="Times New Roman" w:hAnsi="Times New Roman" w:cs="Times New Roman"/>
          <w:color w:val="000000"/>
          <w:kern w:val="0"/>
          <w:sz w:val="16"/>
          <w:szCs w:val="16"/>
          <w:bdr w:val="none" w:sz="0" w:space="0" w:color="auto" w:frame="1"/>
          <w:lang w:val="lv-LV" w:eastAsia="lv-LV"/>
          <w14:ligatures w14:val="none"/>
        </w:rPr>
        <w:t>[2]</w:t>
      </w:r>
      <w:r w:rsidRPr="00D15F3D">
        <w:rPr>
          <w:rFonts w:ascii="inherit" w:eastAsia="Times New Roman" w:hAnsi="inherit" w:cs="Times New Roman"/>
          <w:color w:val="000000"/>
          <w:kern w:val="0"/>
          <w:sz w:val="16"/>
          <w:szCs w:val="16"/>
          <w:bdr w:val="none" w:sz="0" w:space="0" w:color="auto" w:frame="1"/>
          <w:lang w:val="lv-LV" w:eastAsia="lv-LV"/>
          <w14:ligatures w14:val="none"/>
        </w:rPr>
        <w:t> MK 2000. gada 26. septembra noteikumos Nr. 330 “Vakcinācijas noteikumi” 3. Pielikuma veidlapas https://www.spkc.gov.lv/lv/vakcinacija </w:t>
      </w:r>
    </w:p>
    <w:p w14:paraId="5EACE9B6" w14:textId="77777777" w:rsidR="00D15F3D" w:rsidRDefault="00D15F3D" w:rsidP="00D15F3D">
      <w:pPr>
        <w:pStyle w:val="Paraststmeklis"/>
        <w:spacing w:before="0" w:beforeAutospacing="0" w:after="0" w:afterAutospacing="0"/>
        <w:ind w:firstLine="567"/>
        <w:jc w:val="both"/>
        <w:rPr>
          <w:color w:val="000000"/>
          <w:sz w:val="20"/>
          <w:szCs w:val="20"/>
        </w:rPr>
      </w:pPr>
    </w:p>
    <w:p w14:paraId="62CC0069" w14:textId="77777777" w:rsidR="00C4755F" w:rsidRPr="00D15F3D" w:rsidRDefault="00C4755F">
      <w:pPr>
        <w:rPr>
          <w:lang w:val="lv-LV"/>
        </w:rPr>
      </w:pPr>
    </w:p>
    <w:sectPr w:rsidR="00C4755F" w:rsidRPr="00D15F3D">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863EB"/>
    <w:rsid w:val="003570B0"/>
    <w:rsid w:val="003863EB"/>
    <w:rsid w:val="00C4755F"/>
    <w:rsid w:val="00D15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268A4"/>
  <w15:chartTrackingRefBased/>
  <w15:docId w15:val="{6196225C-4573-4371-9AED-3A327867B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semiHidden/>
    <w:unhideWhenUsed/>
    <w:rsid w:val="00D15F3D"/>
    <w:pPr>
      <w:spacing w:before="100" w:beforeAutospacing="1" w:after="100" w:afterAutospacing="1" w:line="240" w:lineRule="auto"/>
    </w:pPr>
    <w:rPr>
      <w:rFonts w:ascii="Times New Roman" w:eastAsia="Times New Roman" w:hAnsi="Times New Roman" w:cs="Times New Roman"/>
      <w:kern w:val="0"/>
      <w:sz w:val="24"/>
      <w:szCs w:val="24"/>
      <w:lang w:val="lv-LV" w:eastAsia="lv-LV"/>
      <w14:ligatures w14:val="none"/>
    </w:rPr>
  </w:style>
  <w:style w:type="character" w:customStyle="1" w:styleId="xxcontentpasted1">
    <w:name w:val="x_x_contentpasted1"/>
    <w:basedOn w:val="Noklusjumarindkopasfonts"/>
    <w:rsid w:val="00D15F3D"/>
  </w:style>
  <w:style w:type="character" w:styleId="Hipersaite">
    <w:name w:val="Hyperlink"/>
    <w:basedOn w:val="Noklusjumarindkopasfonts"/>
    <w:uiPriority w:val="99"/>
    <w:semiHidden/>
    <w:unhideWhenUsed/>
    <w:rsid w:val="00D15F3D"/>
    <w:rPr>
      <w:color w:val="0000FF"/>
      <w:u w:val="single"/>
    </w:rPr>
  </w:style>
  <w:style w:type="paragraph" w:customStyle="1" w:styleId="xxcontentpasted11">
    <w:name w:val="x_x_contentpasted11"/>
    <w:basedOn w:val="Parasts"/>
    <w:rsid w:val="00D15F3D"/>
    <w:pPr>
      <w:spacing w:before="100" w:beforeAutospacing="1" w:after="100" w:afterAutospacing="1" w:line="240" w:lineRule="auto"/>
    </w:pPr>
    <w:rPr>
      <w:rFonts w:ascii="Times New Roman" w:eastAsia="Times New Roman" w:hAnsi="Times New Roman" w:cs="Times New Roman"/>
      <w:kern w:val="0"/>
      <w:sz w:val="24"/>
      <w:szCs w:val="24"/>
      <w:lang w:val="lv-LV" w:eastAsia="lv-LV"/>
      <w14:ligatures w14:val="none"/>
    </w:rPr>
  </w:style>
  <w:style w:type="character" w:customStyle="1" w:styleId="xcontentpasted1">
    <w:name w:val="x_contentpasted1"/>
    <w:basedOn w:val="Noklusjumarindkopasfonts"/>
    <w:rsid w:val="00D15F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793739">
      <w:bodyDiv w:val="1"/>
      <w:marLeft w:val="0"/>
      <w:marRight w:val="0"/>
      <w:marTop w:val="0"/>
      <w:marBottom w:val="0"/>
      <w:divBdr>
        <w:top w:val="none" w:sz="0" w:space="0" w:color="auto"/>
        <w:left w:val="none" w:sz="0" w:space="0" w:color="auto"/>
        <w:bottom w:val="none" w:sz="0" w:space="0" w:color="auto"/>
        <w:right w:val="none" w:sz="0" w:space="0" w:color="auto"/>
      </w:divBdr>
    </w:div>
    <w:div w:id="1123496342">
      <w:bodyDiv w:val="1"/>
      <w:marLeft w:val="0"/>
      <w:marRight w:val="0"/>
      <w:marTop w:val="0"/>
      <w:marBottom w:val="0"/>
      <w:divBdr>
        <w:top w:val="none" w:sz="0" w:space="0" w:color="auto"/>
        <w:left w:val="none" w:sz="0" w:space="0" w:color="auto"/>
        <w:bottom w:val="none" w:sz="0" w:space="0" w:color="auto"/>
        <w:right w:val="none" w:sz="0" w:space="0" w:color="auto"/>
      </w:divBdr>
      <w:divsChild>
        <w:div w:id="270161798">
          <w:marLeft w:val="0"/>
          <w:marRight w:val="0"/>
          <w:marTop w:val="0"/>
          <w:marBottom w:val="0"/>
          <w:divBdr>
            <w:top w:val="none" w:sz="0" w:space="0" w:color="auto"/>
            <w:left w:val="none" w:sz="0" w:space="0" w:color="auto"/>
            <w:bottom w:val="none" w:sz="0" w:space="0" w:color="auto"/>
            <w:right w:val="none" w:sz="0" w:space="0" w:color="auto"/>
          </w:divBdr>
          <w:divsChild>
            <w:div w:id="1756709208">
              <w:marLeft w:val="0"/>
              <w:marRight w:val="0"/>
              <w:marTop w:val="0"/>
              <w:marBottom w:val="0"/>
              <w:divBdr>
                <w:top w:val="none" w:sz="0" w:space="0" w:color="auto"/>
                <w:left w:val="none" w:sz="0" w:space="0" w:color="auto"/>
                <w:bottom w:val="none" w:sz="0" w:space="0" w:color="auto"/>
                <w:right w:val="none" w:sz="0" w:space="0" w:color="auto"/>
              </w:divBdr>
            </w:div>
            <w:div w:id="154259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ti.gov.lv/lat/barintiesas/barintiesu_adreses_/"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pkc.gov.lv/" TargetMode="External"/><Relationship Id="rId5" Type="http://schemas.openxmlformats.org/officeDocument/2006/relationships/hyperlink" Target="https://www.spkc.gov.lv/lv/vakcinacija" TargetMode="External"/><Relationship Id="rId4" Type="http://schemas.openxmlformats.org/officeDocument/2006/relationships/hyperlink" Target="https://www.spkc.gov.lv/lv/pret-ercu-encefalitu-bernie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3205</Words>
  <Characters>1827</Characters>
  <Application>Microsoft Office Word</Application>
  <DocSecurity>0</DocSecurity>
  <Lines>15</Lines>
  <Paragraphs>10</Paragraphs>
  <ScaleCrop>false</ScaleCrop>
  <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Danija Maļceva</dc:creator>
  <cp:keywords/>
  <dc:description/>
  <cp:lastModifiedBy>Danija Maļceva</cp:lastModifiedBy>
  <cp:revision>2</cp:revision>
  <dcterms:created xsi:type="dcterms:W3CDTF">2023-02-24T13:18:00Z</dcterms:created>
  <dcterms:modified xsi:type="dcterms:W3CDTF">2023-02-24T13:21:00Z</dcterms:modified>
</cp:coreProperties>
</file>