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1CF8" w14:textId="77777777" w:rsidR="00A24A6B" w:rsidRPr="00D5053F" w:rsidRDefault="0000000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549605B2" wp14:editId="1A655C14">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3D8A19A6" wp14:editId="7606B97D">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025" style="width:346.25pt;height:0.1pt;margin-top:150.5pt;margin-left:145.7pt;mso-position-horizontal-relative:page;mso-position-vertical-relative:page;position:absolute;z-index:-251657216" coordorigin="2915,2998" coordsize="6926,2">
                <v:shape id="Freeform 42" o:spid="_x0000_s1026"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1C16006E" w14:textId="77777777" w:rsidR="00E46A48" w:rsidRDefault="0000000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26"/>
        <w:gridCol w:w="3645"/>
      </w:tblGrid>
      <w:tr w:rsidR="00566092" w14:paraId="156EA54D" w14:textId="77777777" w:rsidTr="00C5711F">
        <w:trPr>
          <w:trHeight w:val="313"/>
        </w:trPr>
        <w:tc>
          <w:tcPr>
            <w:tcW w:w="5495" w:type="dxa"/>
            <w:shd w:val="clear" w:color="auto" w:fill="auto"/>
          </w:tcPr>
          <w:p w14:paraId="131B477E" w14:textId="77777777"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1-8.1.3/2022/1762</w:t>
            </w:r>
          </w:p>
          <w:p w14:paraId="1892723C" w14:textId="77777777" w:rsidR="002079F2" w:rsidRPr="00CB2202" w:rsidRDefault="002079F2" w:rsidP="00222B8B">
            <w:pPr>
              <w:tabs>
                <w:tab w:val="left" w:pos="0"/>
                <w:tab w:val="left" w:pos="7371"/>
              </w:tabs>
              <w:rPr>
                <w:sz w:val="24"/>
                <w:szCs w:val="24"/>
              </w:rPr>
            </w:pPr>
          </w:p>
        </w:tc>
        <w:tc>
          <w:tcPr>
            <w:tcW w:w="3685" w:type="dxa"/>
            <w:shd w:val="clear" w:color="auto" w:fill="auto"/>
          </w:tcPr>
          <w:p w14:paraId="453529E2" w14:textId="77777777" w:rsidR="00417B8C" w:rsidRPr="00417B8C" w:rsidRDefault="00000000" w:rsidP="00417B8C">
            <w:pPr>
              <w:tabs>
                <w:tab w:val="left" w:pos="0"/>
                <w:tab w:val="left" w:pos="7371"/>
              </w:tabs>
              <w:rPr>
                <w:noProof/>
                <w:sz w:val="24"/>
                <w:szCs w:val="24"/>
              </w:rPr>
            </w:pPr>
            <w:r w:rsidRPr="00417B8C">
              <w:rPr>
                <w:noProof/>
                <w:sz w:val="24"/>
                <w:szCs w:val="24"/>
              </w:rPr>
              <w:t xml:space="preserve">Stacionārās ārstniecības iestādes </w:t>
            </w:r>
            <w:r>
              <w:rPr>
                <w:noProof/>
                <w:sz w:val="24"/>
                <w:szCs w:val="24"/>
              </w:rPr>
              <w:t>(</w:t>
            </w:r>
            <w:r w:rsidRPr="00417B8C">
              <w:rPr>
                <w:noProof/>
                <w:sz w:val="24"/>
                <w:szCs w:val="24"/>
              </w:rPr>
              <w:t>pēc pievienotā saraksta</w:t>
            </w:r>
            <w:r>
              <w:rPr>
                <w:noProof/>
                <w:sz w:val="24"/>
                <w:szCs w:val="24"/>
              </w:rPr>
              <w:t>)</w:t>
            </w:r>
          </w:p>
          <w:p w14:paraId="2394A4E3" w14:textId="77777777" w:rsidR="00417B8C" w:rsidRDefault="00000000" w:rsidP="00417B8C">
            <w:pPr>
              <w:tabs>
                <w:tab w:val="left" w:pos="0"/>
                <w:tab w:val="left" w:pos="7371"/>
              </w:tabs>
              <w:rPr>
                <w:noProof/>
                <w:sz w:val="24"/>
                <w:szCs w:val="24"/>
              </w:rPr>
            </w:pPr>
            <w:r w:rsidRPr="00417B8C">
              <w:rPr>
                <w:noProof/>
                <w:sz w:val="24"/>
                <w:szCs w:val="24"/>
              </w:rPr>
              <w:t xml:space="preserve">Ārstu profesionālās asociācijas </w:t>
            </w:r>
            <w:r>
              <w:rPr>
                <w:noProof/>
                <w:sz w:val="24"/>
                <w:szCs w:val="24"/>
              </w:rPr>
              <w:t>(</w:t>
            </w:r>
            <w:r w:rsidRPr="00417B8C">
              <w:rPr>
                <w:noProof/>
                <w:sz w:val="24"/>
                <w:szCs w:val="24"/>
              </w:rPr>
              <w:t>pēc pievienotā saraksta</w:t>
            </w:r>
            <w:r>
              <w:rPr>
                <w:noProof/>
                <w:sz w:val="24"/>
                <w:szCs w:val="24"/>
              </w:rPr>
              <w:t>)</w:t>
            </w:r>
          </w:p>
          <w:p w14:paraId="18864D84" w14:textId="77777777" w:rsidR="000F2CD9" w:rsidRDefault="00000000" w:rsidP="00417B8C">
            <w:pPr>
              <w:tabs>
                <w:tab w:val="left" w:pos="0"/>
                <w:tab w:val="left" w:pos="7371"/>
              </w:tabs>
              <w:rPr>
                <w:noProof/>
                <w:sz w:val="24"/>
                <w:szCs w:val="24"/>
              </w:rPr>
            </w:pPr>
            <w:r>
              <w:rPr>
                <w:noProof/>
                <w:sz w:val="24"/>
                <w:szCs w:val="24"/>
              </w:rPr>
              <w:t>Neatliekamās medicīniskās palīdzības dienests</w:t>
            </w:r>
          </w:p>
          <w:p w14:paraId="73588B81" w14:textId="77777777" w:rsidR="000F2CD9" w:rsidRDefault="00000000" w:rsidP="00222B8B">
            <w:pPr>
              <w:tabs>
                <w:tab w:val="left" w:pos="0"/>
                <w:tab w:val="left" w:pos="7371"/>
              </w:tabs>
              <w:rPr>
                <w:noProof/>
                <w:sz w:val="24"/>
                <w:szCs w:val="24"/>
              </w:rPr>
            </w:pPr>
            <w:r>
              <w:rPr>
                <w:noProof/>
                <w:sz w:val="24"/>
                <w:szCs w:val="24"/>
              </w:rPr>
              <w:t>Latvijas Republikas Iekšlietu ministrija</w:t>
            </w:r>
          </w:p>
          <w:p w14:paraId="26ECC9CD" w14:textId="77777777" w:rsidR="006956FA" w:rsidRDefault="006956FA" w:rsidP="00222B8B">
            <w:pPr>
              <w:tabs>
                <w:tab w:val="left" w:pos="0"/>
                <w:tab w:val="left" w:pos="7371"/>
              </w:tabs>
              <w:rPr>
                <w:noProof/>
                <w:sz w:val="24"/>
                <w:szCs w:val="24"/>
              </w:rPr>
            </w:pPr>
          </w:p>
          <w:p w14:paraId="650693B7" w14:textId="77777777" w:rsidR="000F2CD9" w:rsidRDefault="00000000" w:rsidP="00222B8B">
            <w:pPr>
              <w:tabs>
                <w:tab w:val="left" w:pos="0"/>
                <w:tab w:val="left" w:pos="7371"/>
              </w:tabs>
              <w:rPr>
                <w:noProof/>
                <w:sz w:val="24"/>
                <w:szCs w:val="24"/>
              </w:rPr>
            </w:pPr>
            <w:r>
              <w:rPr>
                <w:noProof/>
                <w:sz w:val="24"/>
                <w:szCs w:val="24"/>
              </w:rPr>
              <w:t>Zināšanai: Latvijas Republikas Veselības ministrijai</w:t>
            </w:r>
          </w:p>
          <w:p w14:paraId="485DAFF1" w14:textId="77777777" w:rsidR="006956FA" w:rsidRDefault="00000000" w:rsidP="00222B8B">
            <w:pPr>
              <w:tabs>
                <w:tab w:val="left" w:pos="0"/>
                <w:tab w:val="left" w:pos="7371"/>
              </w:tabs>
              <w:rPr>
                <w:noProof/>
                <w:sz w:val="24"/>
                <w:szCs w:val="24"/>
              </w:rPr>
            </w:pPr>
            <w:r>
              <w:rPr>
                <w:noProof/>
                <w:sz w:val="24"/>
                <w:szCs w:val="24"/>
              </w:rPr>
              <w:t>Nacionālajam veselības dienestam</w:t>
            </w:r>
          </w:p>
          <w:p w14:paraId="4D338FEF" w14:textId="77777777" w:rsidR="00222B8B" w:rsidRDefault="00000000" w:rsidP="00222B8B">
            <w:pPr>
              <w:tabs>
                <w:tab w:val="left" w:pos="0"/>
                <w:tab w:val="left" w:pos="7371"/>
              </w:tabs>
              <w:rPr>
                <w:sz w:val="24"/>
                <w:szCs w:val="24"/>
              </w:rPr>
            </w:pPr>
            <w:r>
              <w:rPr>
                <w:noProof/>
                <w:sz w:val="24"/>
                <w:szCs w:val="24"/>
              </w:rPr>
              <w:t>Veselības inspekcijai</w:t>
            </w:r>
          </w:p>
          <w:p w14:paraId="4E25A66E" w14:textId="77777777" w:rsidR="002079F2" w:rsidRDefault="002079F2" w:rsidP="00222B8B">
            <w:pPr>
              <w:tabs>
                <w:tab w:val="left" w:pos="0"/>
                <w:tab w:val="left" w:pos="7371"/>
              </w:tabs>
              <w:rPr>
                <w:sz w:val="24"/>
                <w:szCs w:val="24"/>
              </w:rPr>
            </w:pPr>
          </w:p>
        </w:tc>
      </w:tr>
    </w:tbl>
    <w:p w14:paraId="50C83E8F" w14:textId="77777777" w:rsidR="002079F2" w:rsidRPr="00195A3A" w:rsidRDefault="0000000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difterijas aktualitātēm</w:t>
      </w:r>
    </w:p>
    <w:p w14:paraId="2D14C7A5" w14:textId="77777777" w:rsidR="006956FA" w:rsidRPr="00F74588" w:rsidRDefault="006956FA" w:rsidP="006956FA">
      <w:pPr>
        <w:contextualSpacing/>
        <w:jc w:val="both"/>
        <w:rPr>
          <w:rFonts w:asciiTheme="majorBidi" w:hAnsiTheme="majorBidi" w:cstheme="majorBidi"/>
          <w:b/>
          <w:bCs/>
          <w:sz w:val="24"/>
          <w:szCs w:val="24"/>
        </w:rPr>
      </w:pPr>
    </w:p>
    <w:p w14:paraId="113BDAAA" w14:textId="77777777" w:rsidR="006956FA" w:rsidRPr="00F74588" w:rsidRDefault="00000000" w:rsidP="006956FA">
      <w:pPr>
        <w:ind w:firstLine="720"/>
        <w:contextualSpacing/>
        <w:jc w:val="both"/>
        <w:rPr>
          <w:rFonts w:asciiTheme="majorBidi" w:eastAsia="Calibri" w:hAnsiTheme="majorBidi" w:cstheme="majorBidi"/>
          <w:sz w:val="24"/>
          <w:szCs w:val="24"/>
        </w:rPr>
      </w:pPr>
      <w:r w:rsidRPr="00F74588">
        <w:rPr>
          <w:rStyle w:val="normaltextrun"/>
          <w:rFonts w:asciiTheme="majorBidi" w:hAnsiTheme="majorBidi" w:cstheme="majorBidi"/>
          <w:sz w:val="24"/>
          <w:szCs w:val="24"/>
        </w:rPr>
        <w:t xml:space="preserve">Slimību profilakses un kontroles centrs (turpmāk – SPKC) informē, ka saskaņā ar Pasaules Veselības organizācija (turpmāk – PVO) datiem Eiropā ir novērojams difterijas gadījumu skaita pieaugums. Līdz </w:t>
      </w:r>
      <w:r w:rsidRPr="00F74588">
        <w:rPr>
          <w:rFonts w:asciiTheme="majorBidi" w:eastAsia="Calibri" w:hAnsiTheme="majorBidi" w:cstheme="majorBidi"/>
          <w:sz w:val="24"/>
          <w:szCs w:val="24"/>
        </w:rPr>
        <w:t xml:space="preserve">2022. gada 2. decembrim desmit Eiropas valstis bija ziņojušas par 232 difterijas gadījumiem, kas ir reģistrēti šī gada laikā: Vācija (64), Apvienotajā Karalistē (53), Austrija (42), Šveicē (25), Beļģija (18), Francija (14), Norvēģija (7), Nīderlandē (5), Itālijā (3) un Spānijā (1). 140 (60%) no 232 difterijas gadījumiem tika ziņoti divu mēnešu laikā (oktobrī-novembrī). </w:t>
      </w:r>
      <w:r w:rsidRPr="00F74588">
        <w:rPr>
          <w:rFonts w:asciiTheme="majorBidi" w:hAnsiTheme="majorBidi" w:cstheme="majorBidi"/>
          <w:sz w:val="24"/>
          <w:szCs w:val="24"/>
        </w:rPr>
        <w:t xml:space="preserve">Visos gadījumos ir noteikta </w:t>
      </w:r>
      <w:proofErr w:type="spellStart"/>
      <w:r w:rsidRPr="00F74588">
        <w:rPr>
          <w:rFonts w:asciiTheme="majorBidi" w:eastAsia="Calibri" w:hAnsiTheme="majorBidi" w:cstheme="majorBidi"/>
          <w:i/>
          <w:iCs/>
          <w:sz w:val="24"/>
          <w:szCs w:val="24"/>
        </w:rPr>
        <w:t>C.diphtheriae</w:t>
      </w:r>
      <w:proofErr w:type="spellEnd"/>
      <w:r w:rsidRPr="00F74588">
        <w:rPr>
          <w:rFonts w:asciiTheme="majorBidi" w:eastAsia="Calibri" w:hAnsiTheme="majorBidi" w:cstheme="majorBidi"/>
          <w:i/>
          <w:iCs/>
          <w:sz w:val="24"/>
          <w:szCs w:val="24"/>
        </w:rPr>
        <w:t xml:space="preserve"> </w:t>
      </w:r>
      <w:r w:rsidRPr="00F74588">
        <w:rPr>
          <w:rFonts w:asciiTheme="majorBidi" w:eastAsia="Calibri" w:hAnsiTheme="majorBidi" w:cstheme="majorBidi"/>
          <w:sz w:val="24"/>
          <w:szCs w:val="24"/>
        </w:rPr>
        <w:t>un lielākajai daļai no inficētām personām konstatēta difterijas ādas forma</w:t>
      </w:r>
      <w:r>
        <w:rPr>
          <w:rStyle w:val="FootnoteReference"/>
          <w:rFonts w:asciiTheme="majorBidi" w:eastAsia="Calibri" w:hAnsiTheme="majorBidi" w:cstheme="majorBidi"/>
          <w:sz w:val="24"/>
          <w:szCs w:val="24"/>
        </w:rPr>
        <w:footnoteReference w:id="1"/>
      </w:r>
      <w:r w:rsidRPr="00F74588">
        <w:rPr>
          <w:rFonts w:asciiTheme="majorBidi" w:eastAsia="Calibri" w:hAnsiTheme="majorBidi" w:cstheme="majorBidi"/>
          <w:sz w:val="24"/>
          <w:szCs w:val="24"/>
        </w:rPr>
        <w:t xml:space="preserve">. </w:t>
      </w:r>
    </w:p>
    <w:p w14:paraId="40405771" w14:textId="77777777" w:rsidR="006956FA" w:rsidRPr="00F74588" w:rsidRDefault="00000000" w:rsidP="006956FA">
      <w:pPr>
        <w:ind w:firstLine="720"/>
        <w:contextualSpacing/>
        <w:jc w:val="both"/>
        <w:rPr>
          <w:rFonts w:asciiTheme="majorBidi" w:hAnsiTheme="majorBidi" w:cstheme="majorBidi"/>
          <w:sz w:val="24"/>
          <w:szCs w:val="24"/>
        </w:rPr>
      </w:pPr>
      <w:r w:rsidRPr="00F74588">
        <w:rPr>
          <w:rFonts w:asciiTheme="majorBidi" w:hAnsiTheme="majorBidi" w:cstheme="majorBidi"/>
          <w:sz w:val="24"/>
          <w:szCs w:val="24"/>
        </w:rPr>
        <w:t xml:space="preserve">Latvijā pēdējo trīs gadu laikā nav apstiprināts neviens difterijas gadījums, pēdējie difterijas gadījumi (2 gadījumi) tika reģistrēti 2019. gadā. </w:t>
      </w:r>
    </w:p>
    <w:p w14:paraId="7F675FEA" w14:textId="77777777" w:rsidR="006956FA" w:rsidRPr="00F74588" w:rsidRDefault="00000000" w:rsidP="006956FA">
      <w:pPr>
        <w:ind w:firstLine="720"/>
        <w:contextualSpacing/>
        <w:jc w:val="both"/>
        <w:rPr>
          <w:rFonts w:asciiTheme="majorBidi" w:hAnsiTheme="majorBidi" w:cstheme="majorBidi"/>
          <w:sz w:val="24"/>
          <w:szCs w:val="24"/>
        </w:rPr>
      </w:pPr>
      <w:r w:rsidRPr="00F74588">
        <w:rPr>
          <w:rFonts w:asciiTheme="majorBidi" w:hAnsiTheme="majorBidi" w:cstheme="majorBidi"/>
          <w:sz w:val="24"/>
          <w:szCs w:val="24"/>
        </w:rPr>
        <w:t>Vakcinācijai ir izšķiroša nozīme difterijas profilaksē. Saskaņā ar Veselības ministrijas politikas plānošanas dokumentu „Sabiedrības veselības pamatnostādnes 2021.-2027. gadam” difterijas eliminācijas nolūkā līdz 2027. gadam jāsasniedz vismaz 95% vakcinācijas aptvere bērniem līdz 7 gadiem, 93% pusaudžiem, kā arī 57% pieaugušo iedzīvotāju vidū.</w:t>
      </w:r>
    </w:p>
    <w:p w14:paraId="3BD79A5B" w14:textId="77777777" w:rsidR="006956FA" w:rsidRPr="00F74588" w:rsidRDefault="00000000" w:rsidP="006956FA">
      <w:pPr>
        <w:ind w:firstLine="720"/>
        <w:contextualSpacing/>
        <w:jc w:val="both"/>
        <w:rPr>
          <w:rFonts w:asciiTheme="majorBidi" w:hAnsiTheme="majorBidi" w:cstheme="majorBidi"/>
          <w:sz w:val="24"/>
          <w:szCs w:val="24"/>
        </w:rPr>
      </w:pPr>
      <w:r w:rsidRPr="00F74588">
        <w:rPr>
          <w:rFonts w:asciiTheme="majorBidi" w:hAnsiTheme="majorBidi" w:cstheme="majorBidi"/>
          <w:sz w:val="24"/>
          <w:szCs w:val="24"/>
        </w:rPr>
        <w:t xml:space="preserve">2021. gada SPKC dati liecina, ka vakcinācijas aptvere pret difteriju un stingumkrampjiem bijusi augstāka par izvirzīto mērķi  tikai zīdaiņiem 2 mēnešu vecumā (95,9%; 1. pote) un bērniem 12-15 mēnešu vecumā (97,3%; 4. pote), taču pārējās vecuma grupās vakcinācijas aptvere bijusi zemāka par izvirzīto mērķa līmeni – zīdaiņiem 6-11 mēnešu </w:t>
      </w:r>
      <w:r w:rsidRPr="00F74588">
        <w:rPr>
          <w:rFonts w:asciiTheme="majorBidi" w:hAnsiTheme="majorBidi" w:cstheme="majorBidi"/>
          <w:sz w:val="24"/>
          <w:szCs w:val="24"/>
        </w:rPr>
        <w:lastRenderedPageBreak/>
        <w:t xml:space="preserve">vecumā (3. pote) tā bija 94,4%, bērniem 7 gadu vecumā (5. pote) – 89,3%, pusaudžiem 14 gadu vecumā (6. pote) – 68,3%, bet pieaugušiem (3. pote vai </w:t>
      </w:r>
      <w:proofErr w:type="spellStart"/>
      <w:r w:rsidRPr="00F74588">
        <w:rPr>
          <w:rFonts w:asciiTheme="majorBidi" w:hAnsiTheme="majorBidi" w:cstheme="majorBidi"/>
          <w:sz w:val="24"/>
          <w:szCs w:val="24"/>
        </w:rPr>
        <w:t>balstvakcinācija</w:t>
      </w:r>
      <w:proofErr w:type="spellEnd"/>
      <w:r w:rsidRPr="00F74588">
        <w:rPr>
          <w:rFonts w:asciiTheme="majorBidi" w:hAnsiTheme="majorBidi" w:cstheme="majorBidi"/>
          <w:sz w:val="24"/>
          <w:szCs w:val="24"/>
        </w:rPr>
        <w:t xml:space="preserve">) – 52,8%. Nepietiekama vakcinācijas aptvere rada uzliesmojuma izcelšanās un infekcijas izplatīšanās risku. </w:t>
      </w:r>
    </w:p>
    <w:p w14:paraId="594962C2" w14:textId="77777777" w:rsidR="006956FA" w:rsidRPr="00F74588" w:rsidRDefault="00000000" w:rsidP="006956FA">
      <w:pPr>
        <w:ind w:firstLine="720"/>
        <w:contextualSpacing/>
        <w:jc w:val="both"/>
        <w:rPr>
          <w:rFonts w:asciiTheme="majorBidi" w:hAnsiTheme="majorBidi" w:cstheme="majorBidi"/>
          <w:sz w:val="24"/>
          <w:szCs w:val="24"/>
        </w:rPr>
      </w:pPr>
      <w:r w:rsidRPr="00F74588">
        <w:rPr>
          <w:rFonts w:asciiTheme="majorBidi" w:hAnsiTheme="majorBidi" w:cstheme="majorBidi"/>
          <w:sz w:val="24"/>
          <w:szCs w:val="24"/>
        </w:rPr>
        <w:t>PVO brīdina veselības aprūpes darbiniekus, īpaši tos, kuri iesaistīti patvēruma meklētāju, migrantu un bēgļu veselības aprūpē, par ādas un elpceļu difterijas iespējamību personām, kuras ierodas no valstīm, kur difterija joprojām ir endēmiska un iesaka paaugstināt ārstniecības personu informētību, aktivizēt difterijas uzraudzību un vakcinācijas aptveri. Savukārt Eiropas Slimību profilakses un kontroles centrs iesaka veikt šādus piesardzības pasākumus patvēruma meklētāju centros</w:t>
      </w:r>
      <w:r>
        <w:rPr>
          <w:rStyle w:val="FootnoteReference"/>
          <w:rFonts w:asciiTheme="majorBidi" w:hAnsiTheme="majorBidi" w:cstheme="majorBidi"/>
          <w:sz w:val="24"/>
          <w:szCs w:val="24"/>
        </w:rPr>
        <w:footnoteReference w:id="2"/>
      </w:r>
      <w:r w:rsidRPr="00F74588">
        <w:rPr>
          <w:rFonts w:asciiTheme="majorBidi" w:hAnsiTheme="majorBidi" w:cstheme="majorBidi"/>
          <w:sz w:val="24"/>
          <w:szCs w:val="24"/>
        </w:rPr>
        <w:t>:</w:t>
      </w:r>
    </w:p>
    <w:p w14:paraId="6F5E942D" w14:textId="77777777" w:rsidR="006956FA" w:rsidRPr="00F74588" w:rsidRDefault="00000000" w:rsidP="006956FA">
      <w:pPr>
        <w:pStyle w:val="ListParagraph"/>
        <w:numPr>
          <w:ilvl w:val="0"/>
          <w:numId w:val="5"/>
        </w:numPr>
        <w:spacing w:after="0" w:line="240" w:lineRule="auto"/>
        <w:jc w:val="both"/>
        <w:rPr>
          <w:rFonts w:asciiTheme="majorBidi" w:hAnsiTheme="majorBidi" w:cstheme="majorBidi"/>
          <w:sz w:val="24"/>
          <w:szCs w:val="24"/>
        </w:rPr>
      </w:pPr>
      <w:r w:rsidRPr="00F74588">
        <w:rPr>
          <w:rFonts w:asciiTheme="majorBidi" w:hAnsiTheme="majorBidi" w:cstheme="majorBidi"/>
          <w:sz w:val="24"/>
          <w:szCs w:val="24"/>
        </w:rPr>
        <w:t>nodrošināt, ka darbinieku vakcinācijas statuss ir atjaunināts saskaņā ar esošajām rekomendācijām:</w:t>
      </w:r>
    </w:p>
    <w:p w14:paraId="1A676B2D" w14:textId="77777777" w:rsidR="006956FA" w:rsidRPr="00F74588" w:rsidRDefault="00000000" w:rsidP="006956FA">
      <w:pPr>
        <w:pStyle w:val="ListParagraph"/>
        <w:numPr>
          <w:ilvl w:val="1"/>
          <w:numId w:val="5"/>
        </w:numPr>
        <w:spacing w:after="0" w:line="240" w:lineRule="auto"/>
        <w:jc w:val="both"/>
        <w:rPr>
          <w:rFonts w:asciiTheme="majorBidi" w:hAnsiTheme="majorBidi" w:cstheme="majorBidi"/>
          <w:sz w:val="24"/>
          <w:szCs w:val="24"/>
        </w:rPr>
      </w:pPr>
      <w:r w:rsidRPr="00F74588">
        <w:rPr>
          <w:rFonts w:asciiTheme="majorBidi" w:hAnsiTheme="majorBidi" w:cstheme="majorBidi"/>
          <w:sz w:val="24"/>
          <w:szCs w:val="24"/>
        </w:rPr>
        <w:t xml:space="preserve">Ministru kabineta 2000. gada 26. septembra noteikumu Nr. 330 “Vakcinācijas noteikumi” 2. pielikums “Pieaugušo vakcinācija pret difteriju un stinguma krampjiem” </w:t>
      </w:r>
      <w:r>
        <w:rPr>
          <w:rStyle w:val="FootnoteReference"/>
          <w:rFonts w:asciiTheme="majorBidi" w:hAnsiTheme="majorBidi" w:cstheme="majorBidi"/>
          <w:sz w:val="24"/>
          <w:szCs w:val="24"/>
        </w:rPr>
        <w:footnoteReference w:id="3"/>
      </w:r>
      <w:r w:rsidRPr="00F74588">
        <w:rPr>
          <w:rFonts w:asciiTheme="majorBidi" w:hAnsiTheme="majorBidi" w:cstheme="majorBidi"/>
          <w:sz w:val="24"/>
          <w:szCs w:val="24"/>
        </w:rPr>
        <w:t>;</w:t>
      </w:r>
    </w:p>
    <w:p w14:paraId="0C875553" w14:textId="77777777" w:rsidR="006956FA" w:rsidRPr="00F74588" w:rsidRDefault="00000000" w:rsidP="006956FA">
      <w:pPr>
        <w:pStyle w:val="ListParagraph"/>
        <w:numPr>
          <w:ilvl w:val="1"/>
          <w:numId w:val="5"/>
        </w:numPr>
        <w:spacing w:after="0" w:line="240" w:lineRule="auto"/>
        <w:jc w:val="both"/>
        <w:rPr>
          <w:rFonts w:asciiTheme="majorBidi" w:hAnsiTheme="majorBidi" w:cstheme="majorBidi"/>
          <w:sz w:val="24"/>
          <w:szCs w:val="24"/>
        </w:rPr>
      </w:pPr>
      <w:r w:rsidRPr="00F74588">
        <w:rPr>
          <w:rFonts w:asciiTheme="majorBidi" w:hAnsiTheme="majorBidi" w:cstheme="majorBidi"/>
          <w:sz w:val="24"/>
          <w:szCs w:val="24"/>
        </w:rPr>
        <w:t xml:space="preserve">Praktiskas rekomendācijas vakcinācijai pieaugušajiem un riska grupu indivīdiem Latvijā </w:t>
      </w:r>
      <w:r>
        <w:rPr>
          <w:rStyle w:val="FootnoteReference"/>
          <w:rFonts w:asciiTheme="majorBidi" w:hAnsiTheme="majorBidi" w:cstheme="majorBidi"/>
          <w:sz w:val="24"/>
          <w:szCs w:val="24"/>
        </w:rPr>
        <w:footnoteReference w:id="4"/>
      </w:r>
      <w:r w:rsidRPr="00F74588">
        <w:rPr>
          <w:rFonts w:asciiTheme="majorBidi" w:hAnsiTheme="majorBidi" w:cstheme="majorBidi"/>
          <w:sz w:val="24"/>
          <w:szCs w:val="24"/>
        </w:rPr>
        <w:t>;</w:t>
      </w:r>
    </w:p>
    <w:p w14:paraId="3EE0F891" w14:textId="77777777" w:rsidR="006956FA" w:rsidRPr="00F74588" w:rsidRDefault="00000000" w:rsidP="006956FA">
      <w:pPr>
        <w:pStyle w:val="ListParagraph"/>
        <w:numPr>
          <w:ilvl w:val="0"/>
          <w:numId w:val="4"/>
        </w:numPr>
        <w:spacing w:after="0" w:line="240" w:lineRule="auto"/>
        <w:jc w:val="both"/>
        <w:rPr>
          <w:rFonts w:asciiTheme="majorBidi" w:hAnsiTheme="majorBidi" w:cstheme="majorBidi"/>
          <w:sz w:val="24"/>
          <w:szCs w:val="24"/>
        </w:rPr>
      </w:pPr>
      <w:r w:rsidRPr="00F74588">
        <w:rPr>
          <w:rFonts w:asciiTheme="majorBidi" w:hAnsiTheme="majorBidi" w:cstheme="majorBidi"/>
          <w:sz w:val="24"/>
          <w:szCs w:val="24"/>
        </w:rPr>
        <w:t xml:space="preserve">identificēt tās personas, kuru vakcinācijas statuss nav aktuāls, kuras nav vakcinētas vai kurām nav zināms vakcinācijas statuss pret difteriju, un veikt šo personu vakcināciju vai </w:t>
      </w:r>
      <w:proofErr w:type="spellStart"/>
      <w:r w:rsidRPr="00F74588">
        <w:rPr>
          <w:rFonts w:asciiTheme="majorBidi" w:hAnsiTheme="majorBidi" w:cstheme="majorBidi"/>
          <w:sz w:val="24"/>
          <w:szCs w:val="24"/>
        </w:rPr>
        <w:t>balstvakcināciju</w:t>
      </w:r>
      <w:proofErr w:type="spellEnd"/>
      <w:r w:rsidRPr="00F74588">
        <w:rPr>
          <w:rFonts w:asciiTheme="majorBidi" w:hAnsiTheme="majorBidi" w:cstheme="majorBidi"/>
          <w:sz w:val="24"/>
          <w:szCs w:val="24"/>
        </w:rPr>
        <w:t xml:space="preserve"> atbilstoši esošajām rekomendācijām;</w:t>
      </w:r>
    </w:p>
    <w:p w14:paraId="57AC9AFB" w14:textId="77777777" w:rsidR="006956FA" w:rsidRPr="00F74588" w:rsidRDefault="00000000" w:rsidP="006956FA">
      <w:pPr>
        <w:pStyle w:val="ListParagraph"/>
        <w:numPr>
          <w:ilvl w:val="0"/>
          <w:numId w:val="4"/>
        </w:numPr>
        <w:spacing w:after="0" w:line="240" w:lineRule="auto"/>
        <w:jc w:val="both"/>
        <w:rPr>
          <w:rFonts w:asciiTheme="majorBidi" w:hAnsiTheme="majorBidi" w:cstheme="majorBidi"/>
          <w:sz w:val="24"/>
          <w:szCs w:val="24"/>
        </w:rPr>
      </w:pPr>
      <w:r w:rsidRPr="00F74588">
        <w:rPr>
          <w:rFonts w:asciiTheme="majorBidi" w:hAnsiTheme="majorBidi" w:cstheme="majorBidi"/>
          <w:sz w:val="24"/>
          <w:szCs w:val="24"/>
        </w:rPr>
        <w:t>veselības aprūpes darbiniekiem jāzina par rīcību, lai ātri identificētu un izolētu personas ar aizdomām par difteriju, līdz diagnozes laboratoriskajai apstiprināšanai.</w:t>
      </w:r>
    </w:p>
    <w:p w14:paraId="13C273E4" w14:textId="77777777" w:rsidR="006956FA" w:rsidRPr="00F74588" w:rsidRDefault="00000000" w:rsidP="006956FA">
      <w:pPr>
        <w:ind w:firstLine="360"/>
        <w:jc w:val="both"/>
        <w:rPr>
          <w:rFonts w:asciiTheme="majorBidi" w:hAnsiTheme="majorBidi" w:cstheme="majorBidi"/>
          <w:sz w:val="24"/>
          <w:szCs w:val="24"/>
        </w:rPr>
      </w:pPr>
      <w:r w:rsidRPr="00F74588">
        <w:rPr>
          <w:rFonts w:asciiTheme="majorBidi" w:hAnsiTheme="majorBidi" w:cstheme="majorBidi"/>
          <w:sz w:val="24"/>
          <w:szCs w:val="24"/>
        </w:rPr>
        <w:t xml:space="preserve">SPKC atgādina, ka saskaņā ar Ministru kabineta 1999. gada 5. janvāra noteikumiem Nr. 6 “Kārtība, kādā veicama personu obligātā medicīniskā un laboratoriskā pārbaude, obligātā un piespiedu izolēšana un ārstēšana infekcijas slimību gadījumos” difterijas aizdomu gadījumā ir veicama infekciozās personas obligātā medicīniskā un laboratoriskā pārbaude, izolēšana un ārstēšana. Pastāvot aizdomām par difteriju (skatīt difterijas gadījuma definīciju) pacientus izmeklē bakterioloģiski. </w:t>
      </w:r>
    </w:p>
    <w:p w14:paraId="25E4AA1A" w14:textId="77777777" w:rsidR="006956FA" w:rsidRPr="00F74588" w:rsidRDefault="00000000" w:rsidP="006956FA">
      <w:pPr>
        <w:ind w:firstLine="720"/>
        <w:jc w:val="both"/>
        <w:rPr>
          <w:rFonts w:asciiTheme="majorBidi" w:hAnsiTheme="majorBidi" w:cstheme="majorBidi"/>
          <w:sz w:val="24"/>
          <w:szCs w:val="24"/>
        </w:rPr>
      </w:pPr>
      <w:r w:rsidRPr="00F74588">
        <w:rPr>
          <w:rFonts w:asciiTheme="majorBidi" w:hAnsiTheme="majorBidi" w:cstheme="majorBidi"/>
          <w:sz w:val="24"/>
          <w:szCs w:val="24"/>
        </w:rPr>
        <w:t>Saskaņā ar ECDC ieteikumiem, ja difterija tiek apstiprināta, neatkarīgi no tā, vai infekcija izpaužas kā elpceļu vai ādas difterijas forma, pacientam jāpaliek izolācija līdz organisma atbrīvošana no izraisītāja tiek pierādīta ar divām negatīvām kultūrām, kas iegūtas ar vismaz 24 stundu intervālu pēc antibakteriālās terapijas pabeigšanas.</w:t>
      </w:r>
    </w:p>
    <w:p w14:paraId="505E6ABB" w14:textId="77777777" w:rsidR="006956FA" w:rsidRPr="00F74588" w:rsidRDefault="00000000" w:rsidP="006956FA">
      <w:pPr>
        <w:jc w:val="both"/>
        <w:rPr>
          <w:rFonts w:asciiTheme="majorBidi" w:hAnsiTheme="majorBidi" w:cstheme="majorBidi"/>
          <w:sz w:val="24"/>
          <w:szCs w:val="24"/>
        </w:rPr>
      </w:pPr>
      <w:r w:rsidRPr="00F74588">
        <w:rPr>
          <w:rFonts w:asciiTheme="majorBidi" w:hAnsiTheme="majorBidi" w:cstheme="majorBidi"/>
          <w:sz w:val="24"/>
          <w:szCs w:val="24"/>
        </w:rPr>
        <w:t xml:space="preserve">Difterija ir obligāti reģistrējama infekcijas slimība. Saskaņā ar Ministru kabineta 1999. gada 5. janvāra noteikumiem Nr. 7 “Infekcijas slimību reģistrācijas kārtība” 7. punktu ja pacientam tiek konstatēta  difterija vai rodas profesionāli pamatotas aizdomas par pacienta inficēšanos ar difteriju, ārstniecības persona ziņo Slimību profilakses un kontroles centra attiecīgās reģionālās nodaļas epidemiologam telefoniski un rakstiski vienas darbdienas laikā, ja tas ir pirmais paziņojums par infekcijas slimību, vai rakstiski triju darbdienu laikā, ja tas ir paziņojums par infekcijas slimības diagnozes maiņu vai atcelšanu vai infekcijas slimības galīgo diagnozi, tās laboratorisku apstiprināšanu un slimības iznākumu. </w:t>
      </w:r>
      <w:r w:rsidRPr="00F74588">
        <w:rPr>
          <w:rStyle w:val="normaltextrun"/>
          <w:rFonts w:asciiTheme="majorBidi" w:hAnsiTheme="majorBidi" w:cstheme="majorBidi"/>
          <w:sz w:val="24"/>
          <w:szCs w:val="24"/>
        </w:rPr>
        <w:t xml:space="preserve">Rakstiska paziņošana ir aizpildītas steidzamā ziņojuma veidlapas nosūtīšana pa faksu, pa pastu, ar kurjeru vai elektroniski un ieraksta izdarīšana pacienta medicīniskajā dokumentācijā par ziņošanas faktu. </w:t>
      </w:r>
      <w:r w:rsidRPr="00F74588">
        <w:rPr>
          <w:rFonts w:asciiTheme="majorBidi" w:hAnsiTheme="majorBidi" w:cstheme="majorBidi"/>
          <w:sz w:val="24"/>
          <w:szCs w:val="24"/>
        </w:rPr>
        <w:t xml:space="preserve">Saņemot ārstniecības personas ziņojumu par difterijas gadījumu, SPKC sadarbībā ģimenes ārstiem organizē </w:t>
      </w:r>
      <w:proofErr w:type="spellStart"/>
      <w:r w:rsidRPr="00F74588">
        <w:rPr>
          <w:rFonts w:asciiTheme="majorBidi" w:hAnsiTheme="majorBidi" w:cstheme="majorBidi"/>
          <w:sz w:val="24"/>
          <w:szCs w:val="24"/>
        </w:rPr>
        <w:t>pretepidēmijas</w:t>
      </w:r>
      <w:proofErr w:type="spellEnd"/>
      <w:r w:rsidRPr="00F74588">
        <w:rPr>
          <w:rFonts w:asciiTheme="majorBidi" w:hAnsiTheme="majorBidi" w:cstheme="majorBidi"/>
          <w:sz w:val="24"/>
          <w:szCs w:val="24"/>
        </w:rPr>
        <w:t xml:space="preserve"> pasākumus, t. sk. kontaktpersonu apzināšanu, laboratorisku izmeklēšanu un medicīnisko novērošanu. </w:t>
      </w:r>
    </w:p>
    <w:p w14:paraId="5131661E" w14:textId="77777777" w:rsidR="006956FA" w:rsidRPr="00F74588" w:rsidRDefault="00000000" w:rsidP="006956FA">
      <w:pPr>
        <w:ind w:firstLine="720"/>
        <w:jc w:val="both"/>
        <w:rPr>
          <w:rFonts w:asciiTheme="majorBidi" w:hAnsiTheme="majorBidi" w:cstheme="majorBidi"/>
          <w:sz w:val="24"/>
          <w:szCs w:val="24"/>
        </w:rPr>
      </w:pPr>
      <w:r w:rsidRPr="00F74588">
        <w:rPr>
          <w:rFonts w:asciiTheme="majorBidi" w:hAnsiTheme="majorBidi" w:cstheme="majorBidi"/>
          <w:sz w:val="24"/>
          <w:szCs w:val="24"/>
        </w:rPr>
        <w:t>Saskaņā ar ECDC rekomendācijām pēc kontaktpersonu bakterioloģiskās izmeklēšanas veikšanas, tuvām kontaktpersonām jāveic profilaktiskā antibakteriālā terapija un nepilnīgi vakcinētām vai nevakcinētām kontaktpersonām jāveic vakcinācija, neatkarīgi no izmeklēšanas rezultātiem.</w:t>
      </w:r>
    </w:p>
    <w:p w14:paraId="6F277319" w14:textId="77777777" w:rsidR="006956FA" w:rsidRPr="00F74588" w:rsidRDefault="00000000" w:rsidP="006956FA">
      <w:pPr>
        <w:ind w:firstLine="720"/>
        <w:contextualSpacing/>
        <w:jc w:val="both"/>
        <w:rPr>
          <w:rFonts w:asciiTheme="majorBidi" w:hAnsiTheme="majorBidi" w:cstheme="majorBidi"/>
          <w:sz w:val="24"/>
          <w:szCs w:val="24"/>
        </w:rPr>
      </w:pPr>
      <w:r w:rsidRPr="00F74588">
        <w:rPr>
          <w:rFonts w:asciiTheme="majorBidi" w:hAnsiTheme="majorBidi" w:cstheme="majorBidi"/>
          <w:sz w:val="24"/>
          <w:szCs w:val="24"/>
        </w:rPr>
        <w:lastRenderedPageBreak/>
        <w:t>Ņemot vērā difterijas epidemioloģisko situāciju Eiropā, SPKC aicina:</w:t>
      </w:r>
    </w:p>
    <w:p w14:paraId="57777CFE" w14:textId="77777777" w:rsidR="006956FA" w:rsidRPr="00F74588" w:rsidRDefault="00000000" w:rsidP="006956FA">
      <w:pPr>
        <w:pStyle w:val="ListParagraph"/>
        <w:numPr>
          <w:ilvl w:val="0"/>
          <w:numId w:val="3"/>
        </w:numPr>
        <w:spacing w:after="0" w:line="240" w:lineRule="auto"/>
        <w:jc w:val="both"/>
        <w:rPr>
          <w:rFonts w:asciiTheme="majorBidi" w:hAnsiTheme="majorBidi" w:cstheme="majorBidi"/>
          <w:sz w:val="24"/>
          <w:szCs w:val="24"/>
        </w:rPr>
      </w:pPr>
      <w:r w:rsidRPr="00F74588">
        <w:rPr>
          <w:rFonts w:asciiTheme="majorBidi" w:hAnsiTheme="majorBidi" w:cstheme="majorBidi"/>
          <w:sz w:val="24"/>
          <w:szCs w:val="24"/>
        </w:rPr>
        <w:t>veselības aprūpes darbiniekus apsvērt difterijas iespējamību un izmantot individuālos aizsardzības līdzekļus izmeklējot vai aprūpējot pacientus, kuriem ir elpceļu difterijas simptomi vai ādas bojājumi, piemēram, čūlas, īpaši saistībā ar iespējamu infekcijas izplatīšanos starp patvēruma meklētājiem, patvērumu meklētāju centru darbiniekiem un citiem darbiniekiem, kuri saskaras ar patvēruma meklētājiem;</w:t>
      </w:r>
    </w:p>
    <w:p w14:paraId="1E03004E" w14:textId="77777777" w:rsidR="006956FA" w:rsidRPr="00F74588" w:rsidRDefault="00000000" w:rsidP="006956FA">
      <w:pPr>
        <w:pStyle w:val="ListParagraph"/>
        <w:numPr>
          <w:ilvl w:val="0"/>
          <w:numId w:val="3"/>
        </w:numPr>
        <w:spacing w:after="0" w:line="240" w:lineRule="auto"/>
        <w:jc w:val="both"/>
        <w:rPr>
          <w:rFonts w:asciiTheme="majorBidi" w:hAnsiTheme="majorBidi" w:cstheme="majorBidi"/>
          <w:sz w:val="24"/>
          <w:szCs w:val="24"/>
        </w:rPr>
      </w:pPr>
      <w:r w:rsidRPr="00F74588">
        <w:rPr>
          <w:rFonts w:asciiTheme="majorBidi" w:hAnsiTheme="majorBidi" w:cstheme="majorBidi"/>
          <w:sz w:val="24"/>
          <w:szCs w:val="24"/>
        </w:rPr>
        <w:t>ģimenes ārstus turpināt apzināt nevakcinētos pacientus un aicināt uz vakcināciju.</w:t>
      </w:r>
    </w:p>
    <w:p w14:paraId="742F769E" w14:textId="77777777" w:rsidR="006956FA" w:rsidRPr="00F74588" w:rsidRDefault="00000000" w:rsidP="006956FA">
      <w:pPr>
        <w:ind w:firstLine="720"/>
        <w:contextualSpacing/>
        <w:jc w:val="both"/>
        <w:rPr>
          <w:rFonts w:asciiTheme="majorBidi" w:hAnsiTheme="majorBidi" w:cstheme="majorBidi"/>
          <w:sz w:val="24"/>
          <w:szCs w:val="24"/>
        </w:rPr>
      </w:pPr>
      <w:r w:rsidRPr="00F74588">
        <w:rPr>
          <w:rFonts w:asciiTheme="majorBidi" w:hAnsiTheme="majorBidi" w:cstheme="majorBidi"/>
          <w:sz w:val="24"/>
          <w:szCs w:val="24"/>
        </w:rPr>
        <w:t>Lūdzam izplatīt vēstulē esošo informāciju asociāciju biedriem un citiem ieinteresētiem.</w:t>
      </w:r>
    </w:p>
    <w:p w14:paraId="5BE673C6" w14:textId="77777777" w:rsidR="006956FA" w:rsidRPr="00F74588" w:rsidRDefault="006956FA" w:rsidP="006956FA">
      <w:pPr>
        <w:contextualSpacing/>
        <w:jc w:val="both"/>
        <w:rPr>
          <w:rFonts w:asciiTheme="majorBidi" w:hAnsiTheme="majorBidi" w:cstheme="majorBidi"/>
          <w:sz w:val="24"/>
          <w:szCs w:val="24"/>
        </w:rPr>
      </w:pPr>
    </w:p>
    <w:p w14:paraId="32F44DD2" w14:textId="77777777" w:rsidR="006956FA" w:rsidRPr="009C6384" w:rsidRDefault="00000000" w:rsidP="006956FA">
      <w:pPr>
        <w:contextualSpacing/>
        <w:jc w:val="both"/>
        <w:rPr>
          <w:rFonts w:asciiTheme="majorBidi" w:hAnsiTheme="majorBidi" w:cstheme="majorBidi"/>
          <w:sz w:val="24"/>
          <w:szCs w:val="24"/>
        </w:rPr>
      </w:pPr>
      <w:r w:rsidRPr="00F74588">
        <w:rPr>
          <w:rFonts w:asciiTheme="majorBidi" w:hAnsiTheme="majorBidi" w:cstheme="majorBidi"/>
          <w:sz w:val="24"/>
          <w:szCs w:val="24"/>
        </w:rPr>
        <w:t xml:space="preserve">Pielikumā: Difterijas gadījuma definīcija uz 1 </w:t>
      </w:r>
      <w:proofErr w:type="spellStart"/>
      <w:r w:rsidRPr="00F74588">
        <w:rPr>
          <w:rFonts w:asciiTheme="majorBidi" w:hAnsiTheme="majorBidi" w:cstheme="majorBidi"/>
          <w:sz w:val="24"/>
          <w:szCs w:val="24"/>
        </w:rPr>
        <w:t>lp</w:t>
      </w:r>
      <w:proofErr w:type="spellEnd"/>
      <w:r w:rsidRPr="00F74588">
        <w:rPr>
          <w:rFonts w:asciiTheme="majorBidi" w:hAnsiTheme="majorBidi" w:cstheme="majorBidi"/>
          <w:sz w:val="24"/>
          <w:szCs w:val="24"/>
        </w:rPr>
        <w:t>.</w:t>
      </w:r>
    </w:p>
    <w:p w14:paraId="615A316D" w14:textId="77777777" w:rsidR="00477923" w:rsidRPr="003F6412" w:rsidRDefault="00000000" w:rsidP="00477923">
      <w:pPr>
        <w:tabs>
          <w:tab w:val="left" w:pos="6521"/>
        </w:tabs>
        <w:spacing w:before="480" w:after="480"/>
        <w:jc w:val="both"/>
        <w:rPr>
          <w:sz w:val="24"/>
          <w:szCs w:val="24"/>
        </w:rPr>
      </w:pPr>
      <w:r w:rsidRPr="003F6412">
        <w:rPr>
          <w:sz w:val="24"/>
          <w:szCs w:val="24"/>
        </w:rPr>
        <w:t>Direktore</w:t>
      </w:r>
      <w:r w:rsidRPr="003F6412">
        <w:rPr>
          <w:sz w:val="24"/>
          <w:szCs w:val="24"/>
        </w:rPr>
        <w:tab/>
      </w:r>
      <w:r w:rsidRPr="003F6412">
        <w:rPr>
          <w:noProof/>
          <w:sz w:val="24"/>
          <w:szCs w:val="24"/>
          <w:lang w:eastAsia="lv-LV"/>
        </w:rPr>
        <w:t>Iveta Gavare</w:t>
      </w:r>
    </w:p>
    <w:p w14:paraId="5C270F04" w14:textId="77777777" w:rsidR="002079F2" w:rsidRDefault="00000000" w:rsidP="002079F2">
      <w:pPr>
        <w:pStyle w:val="BodyB"/>
        <w:rPr>
          <w:sz w:val="20"/>
        </w:rPr>
      </w:pPr>
      <w:r>
        <w:rPr>
          <w:noProof/>
          <w:sz w:val="20"/>
        </w:rPr>
        <w:t>Linda Krauze</w:t>
      </w:r>
      <w:r>
        <w:rPr>
          <w:sz w:val="20"/>
        </w:rPr>
        <w:t xml:space="preserve"> </w:t>
      </w:r>
      <w:r>
        <w:rPr>
          <w:noProof/>
          <w:sz w:val="20"/>
        </w:rPr>
        <w:t>67387670</w:t>
      </w:r>
    </w:p>
    <w:p w14:paraId="61780649" w14:textId="77777777" w:rsidR="00A91007" w:rsidRPr="00A91007" w:rsidRDefault="00000000" w:rsidP="00477923">
      <w:pPr>
        <w:pStyle w:val="BodyB"/>
      </w:pPr>
      <w:r>
        <w:rPr>
          <w:noProof/>
          <w:sz w:val="20"/>
        </w:rPr>
        <w:t>linda.krauze@spkc.gov.lv</w:t>
      </w:r>
    </w:p>
    <w:sectPr w:rsidR="00A91007" w:rsidRPr="00A91007" w:rsidSect="008C265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F320" w14:textId="77777777" w:rsidR="00C73360" w:rsidRDefault="00C73360">
      <w:r>
        <w:separator/>
      </w:r>
    </w:p>
  </w:endnote>
  <w:endnote w:type="continuationSeparator" w:id="0">
    <w:p w14:paraId="4E920F0B" w14:textId="77777777" w:rsidR="00C73360" w:rsidRDefault="00C7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E94C" w14:textId="77777777" w:rsidR="00F84E4B" w:rsidRDefault="00000000" w:rsidP="00F84E4B">
    <w:pPr>
      <w:pStyle w:val="Footer"/>
      <w:jc w:val="center"/>
    </w:pPr>
    <w:r w:rsidRPr="001B3C4F">
      <w:t>DOKUMENTS PARAKSTĪTS ELEKTRONISKI AR DROŠU ELEKTRONISKO PARAKSTU</w:t>
    </w:r>
  </w:p>
  <w:p w14:paraId="3DC1E1D9" w14:textId="77777777" w:rsidR="00CD015F" w:rsidRDefault="0000000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C1CA" w14:textId="77777777" w:rsidR="00C73360" w:rsidRDefault="00C73360">
      <w:r>
        <w:separator/>
      </w:r>
    </w:p>
  </w:footnote>
  <w:footnote w:type="continuationSeparator" w:id="0">
    <w:p w14:paraId="52FC910B" w14:textId="77777777" w:rsidR="00C73360" w:rsidRDefault="00C73360">
      <w:r>
        <w:continuationSeparator/>
      </w:r>
    </w:p>
  </w:footnote>
  <w:footnote w:id="1">
    <w:p w14:paraId="7246FE39" w14:textId="77777777" w:rsidR="006956FA" w:rsidRPr="00F74588" w:rsidRDefault="00000000" w:rsidP="006956FA">
      <w:pPr>
        <w:pStyle w:val="FootnoteText"/>
        <w:rPr>
          <w:rFonts w:asciiTheme="majorBidi" w:hAnsiTheme="majorBidi" w:cstheme="majorBidi"/>
          <w:lang w:val="en-US"/>
        </w:rPr>
      </w:pPr>
      <w:r w:rsidRPr="00F74588">
        <w:rPr>
          <w:rStyle w:val="FootnoteReference"/>
          <w:rFonts w:asciiTheme="majorBidi" w:hAnsiTheme="majorBidi" w:cstheme="majorBidi"/>
        </w:rPr>
        <w:footnoteRef/>
      </w:r>
      <w:r w:rsidRPr="00F74588">
        <w:rPr>
          <w:rFonts w:asciiTheme="majorBidi" w:hAnsiTheme="majorBidi" w:cstheme="majorBidi"/>
        </w:rPr>
        <w:t xml:space="preserve"> https://www.ecdc.europa.eu/en/publications-data/increase-reported-diphtheria-cases-among-migrants-europe-due-corynebacterium</w:t>
      </w:r>
    </w:p>
  </w:footnote>
  <w:footnote w:id="2">
    <w:p w14:paraId="2893B8A2" w14:textId="77777777" w:rsidR="006956FA" w:rsidRPr="00F74588" w:rsidRDefault="00000000" w:rsidP="006956FA">
      <w:pPr>
        <w:pStyle w:val="FootnoteText"/>
      </w:pPr>
      <w:r w:rsidRPr="00F74588">
        <w:rPr>
          <w:rStyle w:val="FootnoteReference"/>
          <w:rFonts w:asciiTheme="majorBidi" w:hAnsiTheme="majorBidi" w:cstheme="majorBidi"/>
        </w:rPr>
        <w:footnoteRef/>
      </w:r>
      <w:r w:rsidRPr="00F74588">
        <w:rPr>
          <w:rFonts w:asciiTheme="majorBidi" w:hAnsiTheme="majorBidi" w:cstheme="majorBidi"/>
        </w:rPr>
        <w:t xml:space="preserve"> </w:t>
      </w:r>
      <w:r w:rsidRPr="00F74588">
        <w:rPr>
          <w:rFonts w:asciiTheme="majorBidi" w:hAnsiTheme="majorBidi" w:cstheme="majorBidi"/>
        </w:rPr>
        <w:t>https://www.who.int/europe/publications/i/item/WHO-EURO-2022-6208-45973-66406</w:t>
      </w:r>
    </w:p>
  </w:footnote>
  <w:footnote w:id="3">
    <w:p w14:paraId="461EF64B" w14:textId="77777777" w:rsidR="006956FA" w:rsidRPr="00F74588" w:rsidRDefault="00000000" w:rsidP="006956FA">
      <w:pPr>
        <w:pStyle w:val="FootnoteText"/>
        <w:rPr>
          <w:rFonts w:asciiTheme="majorBidi" w:hAnsiTheme="majorBidi" w:cstheme="majorBidi"/>
        </w:rPr>
      </w:pPr>
      <w:r w:rsidRPr="00F74588">
        <w:rPr>
          <w:rStyle w:val="FootnoteReference"/>
          <w:rFonts w:asciiTheme="majorBidi" w:hAnsiTheme="majorBidi" w:cstheme="majorBidi"/>
        </w:rPr>
        <w:t>4</w:t>
      </w:r>
      <w:r w:rsidRPr="00F74588">
        <w:rPr>
          <w:rFonts w:asciiTheme="majorBidi" w:hAnsiTheme="majorBidi" w:cstheme="majorBidi"/>
        </w:rPr>
        <w:t xml:space="preserve"> </w:t>
      </w:r>
      <w:r w:rsidRPr="00F74588">
        <w:rPr>
          <w:rFonts w:asciiTheme="majorBidi" w:hAnsiTheme="majorBidi" w:cstheme="majorBidi"/>
        </w:rPr>
        <w:t>https://likumi.lv/ta/id/11215#piel2</w:t>
      </w:r>
    </w:p>
  </w:footnote>
  <w:footnote w:id="4">
    <w:p w14:paraId="2CDB741D" w14:textId="77777777" w:rsidR="006956FA" w:rsidRPr="00954BE9" w:rsidRDefault="00000000" w:rsidP="006956FA">
      <w:pPr>
        <w:pStyle w:val="FootnoteText"/>
      </w:pPr>
      <w:r w:rsidRPr="00F74588">
        <w:rPr>
          <w:rStyle w:val="FootnoteReference"/>
          <w:rFonts w:asciiTheme="majorBidi" w:hAnsiTheme="majorBidi" w:cstheme="majorBidi"/>
        </w:rPr>
        <w:t>5</w:t>
      </w:r>
      <w:r w:rsidRPr="00F74588">
        <w:rPr>
          <w:rFonts w:asciiTheme="majorBidi" w:hAnsiTheme="majorBidi" w:cstheme="majorBidi"/>
        </w:rPr>
        <w:t xml:space="preserve"> </w:t>
      </w:r>
      <w:r w:rsidRPr="00F74588">
        <w:rPr>
          <w:rFonts w:asciiTheme="majorBidi" w:hAnsiTheme="majorBidi" w:cstheme="majorBidi"/>
        </w:rPr>
        <w:t>https://www.spkc.gov.lv/lv/metodiskie-materiali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5DC52"/>
    <w:multiLevelType w:val="hybridMultilevel"/>
    <w:tmpl w:val="10E0B1A8"/>
    <w:lvl w:ilvl="0" w:tplc="E6B42C3C">
      <w:start w:val="1"/>
      <w:numFmt w:val="bullet"/>
      <w:lvlText w:val=""/>
      <w:lvlJc w:val="left"/>
      <w:pPr>
        <w:ind w:left="720" w:hanging="360"/>
      </w:pPr>
      <w:rPr>
        <w:rFonts w:ascii="Symbol" w:hAnsi="Symbol" w:hint="default"/>
      </w:rPr>
    </w:lvl>
    <w:lvl w:ilvl="1" w:tplc="899A5124">
      <w:start w:val="1"/>
      <w:numFmt w:val="bullet"/>
      <w:lvlText w:val="o"/>
      <w:lvlJc w:val="left"/>
      <w:pPr>
        <w:ind w:left="1440" w:hanging="360"/>
      </w:pPr>
      <w:rPr>
        <w:rFonts w:ascii="Courier New" w:hAnsi="Courier New" w:hint="default"/>
      </w:rPr>
    </w:lvl>
    <w:lvl w:ilvl="2" w:tplc="54BAB42C">
      <w:start w:val="1"/>
      <w:numFmt w:val="bullet"/>
      <w:lvlText w:val=""/>
      <w:lvlJc w:val="left"/>
      <w:pPr>
        <w:ind w:left="2160" w:hanging="360"/>
      </w:pPr>
      <w:rPr>
        <w:rFonts w:ascii="Wingdings" w:hAnsi="Wingdings" w:hint="default"/>
      </w:rPr>
    </w:lvl>
    <w:lvl w:ilvl="3" w:tplc="8F425ED6">
      <w:start w:val="1"/>
      <w:numFmt w:val="bullet"/>
      <w:lvlText w:val=""/>
      <w:lvlJc w:val="left"/>
      <w:pPr>
        <w:ind w:left="2880" w:hanging="360"/>
      </w:pPr>
      <w:rPr>
        <w:rFonts w:ascii="Symbol" w:hAnsi="Symbol" w:hint="default"/>
      </w:rPr>
    </w:lvl>
    <w:lvl w:ilvl="4" w:tplc="AB7A1520">
      <w:start w:val="1"/>
      <w:numFmt w:val="bullet"/>
      <w:lvlText w:val="o"/>
      <w:lvlJc w:val="left"/>
      <w:pPr>
        <w:ind w:left="3600" w:hanging="360"/>
      </w:pPr>
      <w:rPr>
        <w:rFonts w:ascii="Courier New" w:hAnsi="Courier New" w:hint="default"/>
      </w:rPr>
    </w:lvl>
    <w:lvl w:ilvl="5" w:tplc="CC602FC6">
      <w:start w:val="1"/>
      <w:numFmt w:val="bullet"/>
      <w:lvlText w:val=""/>
      <w:lvlJc w:val="left"/>
      <w:pPr>
        <w:ind w:left="4320" w:hanging="360"/>
      </w:pPr>
      <w:rPr>
        <w:rFonts w:ascii="Wingdings" w:hAnsi="Wingdings" w:hint="default"/>
      </w:rPr>
    </w:lvl>
    <w:lvl w:ilvl="6" w:tplc="0D8AAFCE">
      <w:start w:val="1"/>
      <w:numFmt w:val="bullet"/>
      <w:lvlText w:val=""/>
      <w:lvlJc w:val="left"/>
      <w:pPr>
        <w:ind w:left="5040" w:hanging="360"/>
      </w:pPr>
      <w:rPr>
        <w:rFonts w:ascii="Symbol" w:hAnsi="Symbol" w:hint="default"/>
      </w:rPr>
    </w:lvl>
    <w:lvl w:ilvl="7" w:tplc="07A832B2">
      <w:start w:val="1"/>
      <w:numFmt w:val="bullet"/>
      <w:lvlText w:val="o"/>
      <w:lvlJc w:val="left"/>
      <w:pPr>
        <w:ind w:left="5760" w:hanging="360"/>
      </w:pPr>
      <w:rPr>
        <w:rFonts w:ascii="Courier New" w:hAnsi="Courier New" w:hint="default"/>
      </w:rPr>
    </w:lvl>
    <w:lvl w:ilvl="8" w:tplc="2D7077DA">
      <w:start w:val="1"/>
      <w:numFmt w:val="bullet"/>
      <w:lvlText w:val=""/>
      <w:lvlJc w:val="left"/>
      <w:pPr>
        <w:ind w:left="6480" w:hanging="360"/>
      </w:pPr>
      <w:rPr>
        <w:rFonts w:ascii="Wingdings" w:hAnsi="Wingdings" w:hint="default"/>
      </w:rPr>
    </w:lvl>
  </w:abstractNum>
  <w:abstractNum w:abstractNumId="1" w15:restartNumberingAfterBreak="0">
    <w:nsid w:val="6F776723"/>
    <w:multiLevelType w:val="hybridMultilevel"/>
    <w:tmpl w:val="75C4787A"/>
    <w:lvl w:ilvl="0" w:tplc="966E6E00">
      <w:start w:val="1"/>
      <w:numFmt w:val="decimal"/>
      <w:lvlText w:val="%1."/>
      <w:lvlJc w:val="left"/>
      <w:pPr>
        <w:ind w:left="720" w:hanging="360"/>
      </w:pPr>
      <w:rPr>
        <w:rFonts w:hint="default"/>
      </w:rPr>
    </w:lvl>
    <w:lvl w:ilvl="1" w:tplc="567AE060">
      <w:start w:val="1"/>
      <w:numFmt w:val="lowerLetter"/>
      <w:lvlText w:val="%2."/>
      <w:lvlJc w:val="left"/>
      <w:pPr>
        <w:ind w:left="1440" w:hanging="360"/>
      </w:pPr>
    </w:lvl>
    <w:lvl w:ilvl="2" w:tplc="4FB2D964" w:tentative="1">
      <w:start w:val="1"/>
      <w:numFmt w:val="lowerRoman"/>
      <w:lvlText w:val="%3."/>
      <w:lvlJc w:val="right"/>
      <w:pPr>
        <w:ind w:left="2160" w:hanging="180"/>
      </w:pPr>
    </w:lvl>
    <w:lvl w:ilvl="3" w:tplc="74403A2E" w:tentative="1">
      <w:start w:val="1"/>
      <w:numFmt w:val="decimal"/>
      <w:lvlText w:val="%4."/>
      <w:lvlJc w:val="left"/>
      <w:pPr>
        <w:ind w:left="2880" w:hanging="360"/>
      </w:pPr>
    </w:lvl>
    <w:lvl w:ilvl="4" w:tplc="89BC8AAC" w:tentative="1">
      <w:start w:val="1"/>
      <w:numFmt w:val="lowerLetter"/>
      <w:lvlText w:val="%5."/>
      <w:lvlJc w:val="left"/>
      <w:pPr>
        <w:ind w:left="3600" w:hanging="360"/>
      </w:pPr>
    </w:lvl>
    <w:lvl w:ilvl="5" w:tplc="92E852EA" w:tentative="1">
      <w:start w:val="1"/>
      <w:numFmt w:val="lowerRoman"/>
      <w:lvlText w:val="%6."/>
      <w:lvlJc w:val="right"/>
      <w:pPr>
        <w:ind w:left="4320" w:hanging="180"/>
      </w:pPr>
    </w:lvl>
    <w:lvl w:ilvl="6" w:tplc="2E0832BE" w:tentative="1">
      <w:start w:val="1"/>
      <w:numFmt w:val="decimal"/>
      <w:lvlText w:val="%7."/>
      <w:lvlJc w:val="left"/>
      <w:pPr>
        <w:ind w:left="5040" w:hanging="360"/>
      </w:pPr>
    </w:lvl>
    <w:lvl w:ilvl="7" w:tplc="320E9F66" w:tentative="1">
      <w:start w:val="1"/>
      <w:numFmt w:val="lowerLetter"/>
      <w:lvlText w:val="%8."/>
      <w:lvlJc w:val="left"/>
      <w:pPr>
        <w:ind w:left="5760" w:hanging="360"/>
      </w:pPr>
    </w:lvl>
    <w:lvl w:ilvl="8" w:tplc="9858042C" w:tentative="1">
      <w:start w:val="1"/>
      <w:numFmt w:val="lowerRoman"/>
      <w:lvlText w:val="%9."/>
      <w:lvlJc w:val="right"/>
      <w:pPr>
        <w:ind w:left="6480" w:hanging="180"/>
      </w:pPr>
    </w:lvl>
  </w:abstractNum>
  <w:abstractNum w:abstractNumId="2" w15:restartNumberingAfterBreak="0">
    <w:nsid w:val="715CCD15"/>
    <w:multiLevelType w:val="hybridMultilevel"/>
    <w:tmpl w:val="7DD02012"/>
    <w:lvl w:ilvl="0" w:tplc="C526ECA2">
      <w:start w:val="1"/>
      <w:numFmt w:val="bullet"/>
      <w:lvlText w:val=""/>
      <w:lvlJc w:val="left"/>
      <w:pPr>
        <w:ind w:left="720" w:hanging="360"/>
      </w:pPr>
      <w:rPr>
        <w:rFonts w:ascii="Symbol" w:hAnsi="Symbol" w:hint="default"/>
      </w:rPr>
    </w:lvl>
    <w:lvl w:ilvl="1" w:tplc="A1002E1E">
      <w:start w:val="1"/>
      <w:numFmt w:val="bullet"/>
      <w:lvlText w:val="o"/>
      <w:lvlJc w:val="left"/>
      <w:pPr>
        <w:ind w:left="1440" w:hanging="360"/>
      </w:pPr>
      <w:rPr>
        <w:rFonts w:ascii="Courier New" w:hAnsi="Courier New" w:hint="default"/>
      </w:rPr>
    </w:lvl>
    <w:lvl w:ilvl="2" w:tplc="C46852AE">
      <w:start w:val="1"/>
      <w:numFmt w:val="bullet"/>
      <w:lvlText w:val=""/>
      <w:lvlJc w:val="left"/>
      <w:pPr>
        <w:ind w:left="2160" w:hanging="360"/>
      </w:pPr>
      <w:rPr>
        <w:rFonts w:ascii="Wingdings" w:hAnsi="Wingdings" w:hint="default"/>
      </w:rPr>
    </w:lvl>
    <w:lvl w:ilvl="3" w:tplc="66881054">
      <w:start w:val="1"/>
      <w:numFmt w:val="bullet"/>
      <w:lvlText w:val=""/>
      <w:lvlJc w:val="left"/>
      <w:pPr>
        <w:ind w:left="2880" w:hanging="360"/>
      </w:pPr>
      <w:rPr>
        <w:rFonts w:ascii="Symbol" w:hAnsi="Symbol" w:hint="default"/>
      </w:rPr>
    </w:lvl>
    <w:lvl w:ilvl="4" w:tplc="B24EE420">
      <w:start w:val="1"/>
      <w:numFmt w:val="bullet"/>
      <w:lvlText w:val="o"/>
      <w:lvlJc w:val="left"/>
      <w:pPr>
        <w:ind w:left="3600" w:hanging="360"/>
      </w:pPr>
      <w:rPr>
        <w:rFonts w:ascii="Courier New" w:hAnsi="Courier New" w:hint="default"/>
      </w:rPr>
    </w:lvl>
    <w:lvl w:ilvl="5" w:tplc="483449A8">
      <w:start w:val="1"/>
      <w:numFmt w:val="bullet"/>
      <w:lvlText w:val=""/>
      <w:lvlJc w:val="left"/>
      <w:pPr>
        <w:ind w:left="4320" w:hanging="360"/>
      </w:pPr>
      <w:rPr>
        <w:rFonts w:ascii="Wingdings" w:hAnsi="Wingdings" w:hint="default"/>
      </w:rPr>
    </w:lvl>
    <w:lvl w:ilvl="6" w:tplc="212E602A">
      <w:start w:val="1"/>
      <w:numFmt w:val="bullet"/>
      <w:lvlText w:val=""/>
      <w:lvlJc w:val="left"/>
      <w:pPr>
        <w:ind w:left="5040" w:hanging="360"/>
      </w:pPr>
      <w:rPr>
        <w:rFonts w:ascii="Symbol" w:hAnsi="Symbol" w:hint="default"/>
      </w:rPr>
    </w:lvl>
    <w:lvl w:ilvl="7" w:tplc="7F766754">
      <w:start w:val="1"/>
      <w:numFmt w:val="bullet"/>
      <w:lvlText w:val="o"/>
      <w:lvlJc w:val="left"/>
      <w:pPr>
        <w:ind w:left="5760" w:hanging="360"/>
      </w:pPr>
      <w:rPr>
        <w:rFonts w:ascii="Courier New" w:hAnsi="Courier New" w:hint="default"/>
      </w:rPr>
    </w:lvl>
    <w:lvl w:ilvl="8" w:tplc="64520290">
      <w:start w:val="1"/>
      <w:numFmt w:val="bullet"/>
      <w:lvlText w:val=""/>
      <w:lvlJc w:val="left"/>
      <w:pPr>
        <w:ind w:left="6480" w:hanging="360"/>
      </w:pPr>
      <w:rPr>
        <w:rFonts w:ascii="Wingdings" w:hAnsi="Wingdings" w:hint="default"/>
      </w:rPr>
    </w:lvl>
  </w:abstractNum>
  <w:abstractNum w:abstractNumId="3" w15:restartNumberingAfterBreak="0">
    <w:nsid w:val="75180E68"/>
    <w:multiLevelType w:val="hybridMultilevel"/>
    <w:tmpl w:val="7D4EA18C"/>
    <w:lvl w:ilvl="0" w:tplc="C70CBA24">
      <w:start w:val="1"/>
      <w:numFmt w:val="bullet"/>
      <w:lvlText w:val=""/>
      <w:lvlJc w:val="left"/>
      <w:pPr>
        <w:ind w:left="720" w:hanging="360"/>
      </w:pPr>
      <w:rPr>
        <w:rFonts w:ascii="Symbol" w:hAnsi="Symbol" w:hint="default"/>
      </w:rPr>
    </w:lvl>
    <w:lvl w:ilvl="1" w:tplc="98907596">
      <w:start w:val="1"/>
      <w:numFmt w:val="bullet"/>
      <w:lvlText w:val="o"/>
      <w:lvlJc w:val="left"/>
      <w:pPr>
        <w:ind w:left="1440" w:hanging="360"/>
      </w:pPr>
      <w:rPr>
        <w:rFonts w:ascii="Courier New" w:hAnsi="Courier New" w:hint="default"/>
      </w:rPr>
    </w:lvl>
    <w:lvl w:ilvl="2" w:tplc="7BBAFA26">
      <w:start w:val="1"/>
      <w:numFmt w:val="bullet"/>
      <w:lvlText w:val=""/>
      <w:lvlJc w:val="left"/>
      <w:pPr>
        <w:ind w:left="2160" w:hanging="360"/>
      </w:pPr>
      <w:rPr>
        <w:rFonts w:ascii="Wingdings" w:hAnsi="Wingdings" w:hint="default"/>
      </w:rPr>
    </w:lvl>
    <w:lvl w:ilvl="3" w:tplc="4EC09AD8">
      <w:start w:val="1"/>
      <w:numFmt w:val="bullet"/>
      <w:lvlText w:val=""/>
      <w:lvlJc w:val="left"/>
      <w:pPr>
        <w:ind w:left="2880" w:hanging="360"/>
      </w:pPr>
      <w:rPr>
        <w:rFonts w:ascii="Symbol" w:hAnsi="Symbol" w:hint="default"/>
      </w:rPr>
    </w:lvl>
    <w:lvl w:ilvl="4" w:tplc="FE1C30A6">
      <w:start w:val="1"/>
      <w:numFmt w:val="bullet"/>
      <w:lvlText w:val="o"/>
      <w:lvlJc w:val="left"/>
      <w:pPr>
        <w:ind w:left="3600" w:hanging="360"/>
      </w:pPr>
      <w:rPr>
        <w:rFonts w:ascii="Courier New" w:hAnsi="Courier New" w:hint="default"/>
      </w:rPr>
    </w:lvl>
    <w:lvl w:ilvl="5" w:tplc="B47A624C">
      <w:start w:val="1"/>
      <w:numFmt w:val="bullet"/>
      <w:lvlText w:val=""/>
      <w:lvlJc w:val="left"/>
      <w:pPr>
        <w:ind w:left="4320" w:hanging="360"/>
      </w:pPr>
      <w:rPr>
        <w:rFonts w:ascii="Wingdings" w:hAnsi="Wingdings" w:hint="default"/>
      </w:rPr>
    </w:lvl>
    <w:lvl w:ilvl="6" w:tplc="5D46D978">
      <w:start w:val="1"/>
      <w:numFmt w:val="bullet"/>
      <w:lvlText w:val=""/>
      <w:lvlJc w:val="left"/>
      <w:pPr>
        <w:ind w:left="5040" w:hanging="360"/>
      </w:pPr>
      <w:rPr>
        <w:rFonts w:ascii="Symbol" w:hAnsi="Symbol" w:hint="default"/>
      </w:rPr>
    </w:lvl>
    <w:lvl w:ilvl="7" w:tplc="51A6C57C">
      <w:start w:val="1"/>
      <w:numFmt w:val="bullet"/>
      <w:lvlText w:val="o"/>
      <w:lvlJc w:val="left"/>
      <w:pPr>
        <w:ind w:left="5760" w:hanging="360"/>
      </w:pPr>
      <w:rPr>
        <w:rFonts w:ascii="Courier New" w:hAnsi="Courier New" w:hint="default"/>
      </w:rPr>
    </w:lvl>
    <w:lvl w:ilvl="8" w:tplc="C9A8E916">
      <w:start w:val="1"/>
      <w:numFmt w:val="bullet"/>
      <w:lvlText w:val=""/>
      <w:lvlJc w:val="left"/>
      <w:pPr>
        <w:ind w:left="6480" w:hanging="360"/>
      </w:pPr>
      <w:rPr>
        <w:rFonts w:ascii="Wingdings" w:hAnsi="Wingdings" w:hint="default"/>
      </w:rPr>
    </w:lvl>
  </w:abstractNum>
  <w:abstractNum w:abstractNumId="4"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105614765">
    <w:abstractNumId w:val="1"/>
  </w:num>
  <w:num w:numId="2" w16cid:durableId="823937547">
    <w:abstractNumId w:val="4"/>
  </w:num>
  <w:num w:numId="3" w16cid:durableId="1574270986">
    <w:abstractNumId w:val="0"/>
  </w:num>
  <w:num w:numId="4" w16cid:durableId="290404475">
    <w:abstractNumId w:val="3"/>
  </w:num>
  <w:num w:numId="5" w16cid:durableId="367687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CC"/>
    <w:rsid w:val="00020179"/>
    <w:rsid w:val="000D65D1"/>
    <w:rsid w:val="000F2CD9"/>
    <w:rsid w:val="00112C48"/>
    <w:rsid w:val="00154B6E"/>
    <w:rsid w:val="00195A3A"/>
    <w:rsid w:val="001963C5"/>
    <w:rsid w:val="001B3C4F"/>
    <w:rsid w:val="001F3DE1"/>
    <w:rsid w:val="00203BE2"/>
    <w:rsid w:val="002079F2"/>
    <w:rsid w:val="00222B8B"/>
    <w:rsid w:val="00237C47"/>
    <w:rsid w:val="00247E9C"/>
    <w:rsid w:val="00280BAC"/>
    <w:rsid w:val="002A1379"/>
    <w:rsid w:val="00376EF5"/>
    <w:rsid w:val="003A5E2C"/>
    <w:rsid w:val="003E7BBE"/>
    <w:rsid w:val="003F2940"/>
    <w:rsid w:val="003F6412"/>
    <w:rsid w:val="00415D28"/>
    <w:rsid w:val="00417B8C"/>
    <w:rsid w:val="00443D6E"/>
    <w:rsid w:val="004568DF"/>
    <w:rsid w:val="00456D43"/>
    <w:rsid w:val="00477923"/>
    <w:rsid w:val="00480BD0"/>
    <w:rsid w:val="004A063D"/>
    <w:rsid w:val="00505CA0"/>
    <w:rsid w:val="005249D9"/>
    <w:rsid w:val="0055269A"/>
    <w:rsid w:val="005603D1"/>
    <w:rsid w:val="00566092"/>
    <w:rsid w:val="00587CC8"/>
    <w:rsid w:val="005D3E87"/>
    <w:rsid w:val="006765DF"/>
    <w:rsid w:val="006956FA"/>
    <w:rsid w:val="006D3FD6"/>
    <w:rsid w:val="007322A6"/>
    <w:rsid w:val="007906BB"/>
    <w:rsid w:val="00893003"/>
    <w:rsid w:val="008B15BC"/>
    <w:rsid w:val="008B6D06"/>
    <w:rsid w:val="008B742D"/>
    <w:rsid w:val="008C265B"/>
    <w:rsid w:val="00954BE9"/>
    <w:rsid w:val="00987215"/>
    <w:rsid w:val="00994AA3"/>
    <w:rsid w:val="009C6384"/>
    <w:rsid w:val="009E26F3"/>
    <w:rsid w:val="00A23AAC"/>
    <w:rsid w:val="00A24A6B"/>
    <w:rsid w:val="00A277B8"/>
    <w:rsid w:val="00A91007"/>
    <w:rsid w:val="00B16961"/>
    <w:rsid w:val="00B42D9C"/>
    <w:rsid w:val="00B86B76"/>
    <w:rsid w:val="00BE7124"/>
    <w:rsid w:val="00BF3D96"/>
    <w:rsid w:val="00C12D6E"/>
    <w:rsid w:val="00C16C31"/>
    <w:rsid w:val="00C4438A"/>
    <w:rsid w:val="00C73360"/>
    <w:rsid w:val="00C92245"/>
    <w:rsid w:val="00CA27BF"/>
    <w:rsid w:val="00CB2202"/>
    <w:rsid w:val="00CB77F0"/>
    <w:rsid w:val="00CC1A82"/>
    <w:rsid w:val="00CC4F90"/>
    <w:rsid w:val="00CD015F"/>
    <w:rsid w:val="00D5053F"/>
    <w:rsid w:val="00D831E1"/>
    <w:rsid w:val="00D92D62"/>
    <w:rsid w:val="00DC0153"/>
    <w:rsid w:val="00DC1881"/>
    <w:rsid w:val="00DE33E0"/>
    <w:rsid w:val="00E029CF"/>
    <w:rsid w:val="00E10BEB"/>
    <w:rsid w:val="00E33119"/>
    <w:rsid w:val="00E402D8"/>
    <w:rsid w:val="00E46716"/>
    <w:rsid w:val="00E46A48"/>
    <w:rsid w:val="00E55896"/>
    <w:rsid w:val="00E92ACC"/>
    <w:rsid w:val="00EC6B3B"/>
    <w:rsid w:val="00EE4551"/>
    <w:rsid w:val="00EE7EE5"/>
    <w:rsid w:val="00F74588"/>
    <w:rsid w:val="00F84E4B"/>
    <w:rsid w:val="00FB54D0"/>
    <w:rsid w:val="00FE4C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A266"/>
  <w15:chartTrackingRefBased/>
  <w15:docId w15:val="{457F659D-D5EA-4E30-BD39-445F233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rPr>
  </w:style>
  <w:style w:type="character" w:customStyle="1" w:styleId="normaltextrun">
    <w:name w:val="normaltextrun"/>
    <w:basedOn w:val="DefaultParagraphFont"/>
    <w:rsid w:val="006956FA"/>
  </w:style>
  <w:style w:type="paragraph" w:styleId="FootnoteText">
    <w:name w:val="footnote text"/>
    <w:basedOn w:val="Normal"/>
    <w:link w:val="FootnoteTextChar"/>
    <w:uiPriority w:val="99"/>
    <w:semiHidden/>
    <w:unhideWhenUsed/>
    <w:rsid w:val="006956F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6956F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95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1</TotalTime>
  <Pages>3</Pages>
  <Words>4159</Words>
  <Characters>2372</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Anita Zolmane</cp:lastModifiedBy>
  <cp:revision>2</cp:revision>
  <cp:lastPrinted>2016-02-15T06:53:00Z</cp:lastPrinted>
  <dcterms:created xsi:type="dcterms:W3CDTF">2022-12-30T10:28:00Z</dcterms:created>
  <dcterms:modified xsi:type="dcterms:W3CDTF">2022-12-30T10:28:00Z</dcterms:modified>
</cp:coreProperties>
</file>