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54C780C" w:rsidR="002C35F4" w:rsidRDefault="006A525A" w:rsidP="002C35F4">
      <w:pPr>
        <w:spacing w:after="0" w:line="240" w:lineRule="auto"/>
        <w:rPr>
          <w:b/>
          <w:bCs/>
        </w:rPr>
      </w:pPr>
      <w:r>
        <w:rPr>
          <w:b/>
          <w:bCs/>
        </w:rPr>
        <w:t>2</w:t>
      </w:r>
      <w:r w:rsidR="00037AE9">
        <w:rPr>
          <w:b/>
          <w:bCs/>
        </w:rPr>
        <w:t>8</w:t>
      </w:r>
      <w:r>
        <w:rPr>
          <w:b/>
          <w:bCs/>
        </w:rPr>
        <w:t>.11</w:t>
      </w:r>
      <w:r w:rsidR="00052523">
        <w:rPr>
          <w:b/>
          <w:bCs/>
        </w:rPr>
        <w:t>.2022.</w:t>
      </w:r>
      <w:r w:rsidR="0067605D">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9C6593D" w14:textId="098F83FC" w:rsidR="00B95AEB" w:rsidRDefault="00037AE9" w:rsidP="00CF744E">
      <w:pPr>
        <w:spacing w:after="0" w:line="240" w:lineRule="auto"/>
        <w:rPr>
          <w:rFonts w:cstheme="minorHAnsi"/>
        </w:rPr>
      </w:pPr>
      <w:r w:rsidRPr="00037AE9">
        <w:rPr>
          <w:rFonts w:cstheme="minorHAnsi"/>
        </w:rPr>
        <w:t>Par "dzelteno koridor</w:t>
      </w:r>
      <w:r>
        <w:rPr>
          <w:rFonts w:cstheme="minorHAnsi"/>
        </w:rPr>
        <w:t>u</w:t>
      </w:r>
      <w:r w:rsidRPr="00037AE9">
        <w:rPr>
          <w:rFonts w:cstheme="minorHAnsi"/>
        </w:rPr>
        <w:t>"</w:t>
      </w:r>
      <w:r w:rsidR="00693CF0">
        <w:t>.</w:t>
      </w:r>
    </w:p>
    <w:p w14:paraId="3105D1D3" w14:textId="77777777" w:rsidR="006A525A" w:rsidRDefault="006A525A" w:rsidP="00CF744E">
      <w:pPr>
        <w:spacing w:after="0" w:line="240" w:lineRule="auto"/>
        <w:rPr>
          <w:rFonts w:cstheme="minorHAnsi"/>
        </w:rPr>
      </w:pPr>
    </w:p>
    <w:p w14:paraId="4979EB97" w14:textId="2684D1D1"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382B1D8" w14:textId="77777777" w:rsidR="00037AE9" w:rsidRPr="00037AE9" w:rsidRDefault="00037AE9" w:rsidP="00037AE9">
      <w:pPr>
        <w:ind w:firstLine="720"/>
        <w:jc w:val="both"/>
        <w:rPr>
          <w:rFonts w:cstheme="minorHAnsi"/>
          <w:lang w:eastAsia="lv-LV"/>
        </w:rPr>
      </w:pPr>
      <w:r w:rsidRPr="00037AE9">
        <w:rPr>
          <w:rFonts w:cstheme="minorHAnsi"/>
        </w:rPr>
        <w:t xml:space="preserve">Nacionālais veselības dienests atgādina, ka no 2022. gada 1. janvāra, lai uzlabotu pieejamību diagnostiskiem izmeklējumiem, pacientiem ar iespējamo ļaundabīgo audzēju recidīvu, </w:t>
      </w:r>
      <w:r w:rsidRPr="00037AE9">
        <w:rPr>
          <w:rFonts w:cstheme="minorHAnsi"/>
          <w:lang w:eastAsia="lv-LV"/>
        </w:rPr>
        <w:t xml:space="preserve">ir izveidots </w:t>
      </w:r>
      <w:r w:rsidRPr="00037AE9">
        <w:rPr>
          <w:rFonts w:cstheme="minorHAnsi"/>
          <w:b/>
          <w:bCs/>
          <w:u w:val="single"/>
          <w:lang w:eastAsia="lv-LV"/>
        </w:rPr>
        <w:t>"dzeltenais koridors"</w:t>
      </w:r>
      <w:r w:rsidRPr="00037AE9">
        <w:rPr>
          <w:rFonts w:cstheme="minorHAnsi"/>
          <w:lang w:eastAsia="lv-LV"/>
        </w:rPr>
        <w:t xml:space="preserve">. </w:t>
      </w:r>
      <w:r w:rsidRPr="00037AE9">
        <w:rPr>
          <w:rFonts w:cstheme="minorHAnsi"/>
          <w:lang w:eastAsia="en-GB"/>
        </w:rPr>
        <w:t>Tas paredz, ka ģimenes ārsts vai ārsts speciālists atpazīst personas ar noteiktām sūdzībām un simptomiem, un tām jau pirmā apmeklējuma laikā, veic fizikālu izmeklēšanu un anamnēzes noskaidrošanu. Ja veiktās izmeklēšanas rezultātā ir konstatētas indikācijas ļaundabīgo audzēju recidīvu primārās diagnostikas izmeklējumiem, tad ģimenes ārsts vai speciālists pacientu nosūta secīgi uz noteiktajiem izmeklējumiem.</w:t>
      </w:r>
    </w:p>
    <w:p w14:paraId="4FCC461A" w14:textId="77777777" w:rsidR="00037AE9" w:rsidRPr="00037AE9" w:rsidRDefault="00037AE9" w:rsidP="00037AE9">
      <w:pPr>
        <w:ind w:firstLine="720"/>
        <w:jc w:val="both"/>
        <w:rPr>
          <w:rFonts w:cstheme="minorHAnsi"/>
          <w:lang w:eastAsia="lv-LV"/>
        </w:rPr>
      </w:pPr>
      <w:r w:rsidRPr="00037AE9">
        <w:rPr>
          <w:rFonts w:cstheme="minorHAnsi"/>
          <w:lang w:eastAsia="lv-LV"/>
        </w:rPr>
        <w:t xml:space="preserve">Atgādinām, ka ir izstrādāti primāras un sekundāras diagnostikas algoritmi (uz doto brīdi tikai </w:t>
      </w:r>
      <w:r w:rsidRPr="00037AE9">
        <w:rPr>
          <w:rFonts w:cstheme="minorHAnsi"/>
          <w:u w:val="single"/>
          <w:lang w:eastAsia="lv-LV"/>
        </w:rPr>
        <w:t>krūts vēža un zarnu vēža lokalizācijām)</w:t>
      </w:r>
      <w:r w:rsidRPr="00037AE9">
        <w:rPr>
          <w:rFonts w:cstheme="minorHAnsi"/>
          <w:lang w:eastAsia="lv-LV"/>
        </w:rPr>
        <w:t xml:space="preserve"> “Ļaundabīgo audzēju recidīvu primāra diagnostika noteiktām lokalizācijām” un “Ļaundabīgo audzēju recidīvu sekundārā diagnostika noteiktām lokalizācijām”, kas ir pieejami Dienesta mājas lapā </w:t>
      </w:r>
      <w:hyperlink r:id="rId5" w:history="1">
        <w:r w:rsidRPr="00037AE9">
          <w:rPr>
            <w:rStyle w:val="Hyperlink"/>
            <w:rFonts w:cstheme="minorHAnsi"/>
            <w:lang w:eastAsia="lv-LV"/>
          </w:rPr>
          <w:t>https://www.vmnvd.gov.lv/lv/laundabigo-audzeju-diagnostika</w:t>
        </w:r>
      </w:hyperlink>
      <w:r w:rsidRPr="00037AE9">
        <w:rPr>
          <w:rFonts w:cstheme="minorHAnsi"/>
          <w:lang w:eastAsia="lv-LV"/>
        </w:rPr>
        <w:t xml:space="preserve"> , kā arī pievienoti šīs vēstules pielikumā.</w:t>
      </w:r>
    </w:p>
    <w:p w14:paraId="1D7E3C5C" w14:textId="731FB926" w:rsidR="00037AE9" w:rsidRPr="00037AE9" w:rsidRDefault="00037AE9" w:rsidP="00037AE9">
      <w:pPr>
        <w:ind w:firstLine="720"/>
        <w:jc w:val="both"/>
        <w:rPr>
          <w:rFonts w:cstheme="minorHAnsi"/>
          <w:lang w:eastAsia="lv-LV"/>
        </w:rPr>
      </w:pPr>
      <w:r w:rsidRPr="00037AE9">
        <w:rPr>
          <w:rFonts w:cstheme="minorHAnsi"/>
          <w:b/>
          <w:bCs/>
          <w:u w:val="single"/>
          <w:lang w:eastAsia="lv-LV"/>
        </w:rPr>
        <w:t>Pārējo lokalizāciju gadījumos</w:t>
      </w:r>
      <w:r w:rsidRPr="00037AE9">
        <w:rPr>
          <w:rFonts w:cstheme="minorHAnsi"/>
          <w:lang w:eastAsia="lv-LV"/>
        </w:rPr>
        <w:t xml:space="preserve"> pacientu var nosūtīt uz izmeklējumiem “dzeltenajā koridor</w:t>
      </w:r>
      <w:r>
        <w:rPr>
          <w:rFonts w:cstheme="minorHAnsi"/>
          <w:lang w:eastAsia="lv-LV"/>
        </w:rPr>
        <w:t>ā</w:t>
      </w:r>
      <w:r w:rsidRPr="00037AE9">
        <w:rPr>
          <w:rFonts w:cstheme="minorHAnsi"/>
          <w:lang w:eastAsia="lv-LV"/>
        </w:rPr>
        <w:t xml:space="preserve">” atbilstoši: </w:t>
      </w:r>
    </w:p>
    <w:p w14:paraId="0EDE472D" w14:textId="77777777" w:rsidR="00037AE9" w:rsidRPr="00037AE9" w:rsidRDefault="00037AE9" w:rsidP="00037AE9">
      <w:pPr>
        <w:pStyle w:val="ListParagraph"/>
        <w:numPr>
          <w:ilvl w:val="0"/>
          <w:numId w:val="24"/>
        </w:numPr>
        <w:jc w:val="both"/>
        <w:rPr>
          <w:rFonts w:asciiTheme="minorHAnsi" w:eastAsia="Times New Roman" w:hAnsiTheme="minorHAnsi" w:cstheme="minorHAnsi"/>
          <w:lang w:eastAsia="lv-LV"/>
        </w:rPr>
      </w:pPr>
      <w:r w:rsidRPr="00037AE9">
        <w:rPr>
          <w:rFonts w:asciiTheme="minorHAnsi" w:eastAsia="Times New Roman" w:hAnsiTheme="minorHAnsi" w:cstheme="minorHAnsi"/>
          <w:lang w:eastAsia="lv-LV"/>
        </w:rPr>
        <w:t>SPKC publicētajiem klīniskajiem algoritmiem un pacientu ceļiem (</w:t>
      </w:r>
      <w:hyperlink r:id="rId6" w:history="1">
        <w:r w:rsidRPr="00037AE9">
          <w:rPr>
            <w:rStyle w:val="Hyperlink"/>
            <w:rFonts w:asciiTheme="minorHAnsi" w:eastAsia="Times New Roman" w:hAnsiTheme="minorHAnsi" w:cstheme="minorHAnsi"/>
            <w:lang w:eastAsia="lv-LV"/>
          </w:rPr>
          <w:t>https://www.spkc.gov.lv/lv/kliniskie-algoritmi-un-pacientu-celi</w:t>
        </w:r>
      </w:hyperlink>
      <w:r w:rsidRPr="00037AE9">
        <w:rPr>
          <w:rFonts w:asciiTheme="minorHAnsi" w:eastAsia="Times New Roman" w:hAnsiTheme="minorHAnsi" w:cstheme="minorHAnsi"/>
          <w:lang w:eastAsia="lv-LV"/>
        </w:rPr>
        <w:t xml:space="preserve"> );</w:t>
      </w:r>
    </w:p>
    <w:p w14:paraId="005D5435" w14:textId="77777777" w:rsidR="00037AE9" w:rsidRPr="00037AE9" w:rsidRDefault="00037AE9" w:rsidP="00037AE9">
      <w:pPr>
        <w:pStyle w:val="ListParagraph"/>
        <w:numPr>
          <w:ilvl w:val="0"/>
          <w:numId w:val="24"/>
        </w:numPr>
        <w:jc w:val="both"/>
        <w:rPr>
          <w:rFonts w:asciiTheme="minorHAnsi" w:eastAsia="Times New Roman" w:hAnsiTheme="minorHAnsi" w:cstheme="minorHAnsi"/>
          <w:lang w:eastAsia="lv-LV"/>
        </w:rPr>
      </w:pPr>
      <w:r w:rsidRPr="00037AE9">
        <w:rPr>
          <w:rFonts w:asciiTheme="minorHAnsi" w:eastAsia="Times New Roman" w:hAnsiTheme="minorHAnsi" w:cstheme="minorHAnsi"/>
          <w:lang w:eastAsia="lv-LV"/>
        </w:rPr>
        <w:t>starptautiskajām vadlīnijām.</w:t>
      </w:r>
    </w:p>
    <w:p w14:paraId="5B2F236E" w14:textId="77777777" w:rsidR="00037AE9" w:rsidRPr="00037AE9" w:rsidRDefault="00037AE9" w:rsidP="00037AE9">
      <w:pPr>
        <w:jc w:val="both"/>
        <w:rPr>
          <w:rFonts w:cstheme="minorHAnsi"/>
          <w:lang w:eastAsia="en-GB"/>
        </w:rPr>
      </w:pPr>
      <w:r w:rsidRPr="00037AE9">
        <w:rPr>
          <w:rFonts w:cstheme="minorHAnsi"/>
          <w:b/>
          <w:bCs/>
          <w:lang w:eastAsia="en-GB"/>
        </w:rPr>
        <w:t>Nosūtījumā</w:t>
      </w:r>
      <w:r w:rsidRPr="00037AE9">
        <w:rPr>
          <w:rFonts w:cstheme="minorHAnsi"/>
          <w:lang w:eastAsia="en-GB"/>
        </w:rPr>
        <w:t xml:space="preserve"> ģimenes ārsts vai ārsts speciālists norāda:</w:t>
      </w:r>
    </w:p>
    <w:p w14:paraId="3A6F115A" w14:textId="77777777" w:rsidR="00037AE9" w:rsidRPr="00037AE9" w:rsidRDefault="00037AE9" w:rsidP="00037AE9">
      <w:pPr>
        <w:pStyle w:val="ListParagraph"/>
        <w:numPr>
          <w:ilvl w:val="0"/>
          <w:numId w:val="25"/>
        </w:numPr>
        <w:jc w:val="both"/>
        <w:rPr>
          <w:rFonts w:asciiTheme="minorHAnsi" w:eastAsia="Times New Roman" w:hAnsiTheme="minorHAnsi" w:cstheme="minorHAnsi"/>
          <w:lang w:eastAsia="en-GB"/>
        </w:rPr>
      </w:pPr>
      <w:r w:rsidRPr="00037AE9">
        <w:rPr>
          <w:rFonts w:asciiTheme="minorHAnsi" w:eastAsia="Times New Roman" w:hAnsiTheme="minorHAnsi" w:cstheme="minorHAnsi"/>
          <w:lang w:eastAsia="en-GB"/>
        </w:rPr>
        <w:t>attiecīgo onkoloģiskās slimības diagnozes kodu pēc SSK-10 klasifikatora;</w:t>
      </w:r>
    </w:p>
    <w:p w14:paraId="51F9864E" w14:textId="77777777" w:rsidR="00037AE9" w:rsidRPr="00037AE9" w:rsidRDefault="00037AE9" w:rsidP="00037AE9">
      <w:pPr>
        <w:pStyle w:val="ListParagraph"/>
        <w:numPr>
          <w:ilvl w:val="0"/>
          <w:numId w:val="26"/>
        </w:numPr>
        <w:jc w:val="both"/>
        <w:rPr>
          <w:rFonts w:asciiTheme="minorHAnsi" w:eastAsia="Times New Roman" w:hAnsiTheme="minorHAnsi" w:cstheme="minorHAnsi"/>
          <w:b/>
          <w:bCs/>
          <w:lang w:eastAsia="en-GB"/>
        </w:rPr>
      </w:pPr>
      <w:r w:rsidRPr="00037AE9">
        <w:rPr>
          <w:rFonts w:asciiTheme="minorHAnsi" w:eastAsia="Times New Roman" w:hAnsiTheme="minorHAnsi" w:cstheme="minorHAnsi"/>
          <w:lang w:eastAsia="en-GB"/>
        </w:rPr>
        <w:t>pacienta sūdzības un slimības simptomus, fizikālās atradnes datus, kas apliecina aizdomas par noteiktas lokalizācijas onkoloģiskās  slimības recidīvu;</w:t>
      </w:r>
    </w:p>
    <w:p w14:paraId="6CA24BA7" w14:textId="77777777" w:rsidR="00037AE9" w:rsidRPr="00037AE9" w:rsidRDefault="00037AE9" w:rsidP="00037AE9">
      <w:pPr>
        <w:pStyle w:val="ListParagraph"/>
        <w:numPr>
          <w:ilvl w:val="0"/>
          <w:numId w:val="26"/>
        </w:numPr>
        <w:jc w:val="both"/>
        <w:rPr>
          <w:rFonts w:asciiTheme="minorHAnsi" w:eastAsia="Times New Roman" w:hAnsiTheme="minorHAnsi" w:cstheme="minorHAnsi"/>
          <w:b/>
          <w:bCs/>
          <w:lang w:eastAsia="en-GB"/>
        </w:rPr>
      </w:pPr>
      <w:r w:rsidRPr="00037AE9">
        <w:rPr>
          <w:rFonts w:asciiTheme="minorHAnsi" w:eastAsia="Times New Roman" w:hAnsiTheme="minorHAnsi" w:cstheme="minorHAnsi"/>
          <w:lang w:eastAsia="en-GB"/>
        </w:rPr>
        <w:t>datus no veiktiem izmeklējumiem, kas liecina par recidīvu, ja tādi ir pieejami;</w:t>
      </w:r>
    </w:p>
    <w:p w14:paraId="293D4666" w14:textId="77777777" w:rsidR="00037AE9" w:rsidRPr="00037AE9" w:rsidRDefault="00037AE9" w:rsidP="00037AE9">
      <w:pPr>
        <w:pStyle w:val="ListParagraph"/>
        <w:numPr>
          <w:ilvl w:val="0"/>
          <w:numId w:val="26"/>
        </w:numPr>
        <w:jc w:val="both"/>
        <w:rPr>
          <w:rFonts w:asciiTheme="minorHAnsi" w:eastAsia="Times New Roman" w:hAnsiTheme="minorHAnsi" w:cstheme="minorHAnsi"/>
          <w:b/>
          <w:bCs/>
          <w:lang w:eastAsia="en-GB"/>
        </w:rPr>
      </w:pPr>
      <w:r w:rsidRPr="00037AE9">
        <w:rPr>
          <w:rFonts w:asciiTheme="minorHAnsi" w:eastAsia="Times New Roman" w:hAnsiTheme="minorHAnsi" w:cstheme="minorHAnsi"/>
          <w:lang w:eastAsia="en-GB"/>
        </w:rPr>
        <w:t xml:space="preserve">pacientu </w:t>
      </w:r>
      <w:r w:rsidRPr="00037AE9">
        <w:rPr>
          <w:rFonts w:asciiTheme="minorHAnsi" w:eastAsia="Times New Roman" w:hAnsiTheme="minorHAnsi" w:cstheme="minorHAnsi"/>
        </w:rPr>
        <w:t xml:space="preserve">grupu </w:t>
      </w:r>
      <w:r w:rsidRPr="00037AE9">
        <w:rPr>
          <w:rFonts w:asciiTheme="minorHAnsi" w:eastAsia="Times New Roman" w:hAnsiTheme="minorHAnsi" w:cstheme="minorHAnsi"/>
          <w:b/>
          <w:bCs/>
        </w:rPr>
        <w:t>“C2P –Ļaundabīgo audzēju recidīvu primāra diagnostika.</w:t>
      </w:r>
    </w:p>
    <w:p w14:paraId="2EC26CEE" w14:textId="77777777" w:rsidR="00037AE9" w:rsidRPr="00037AE9" w:rsidRDefault="00037AE9" w:rsidP="00037AE9">
      <w:pPr>
        <w:jc w:val="both"/>
        <w:rPr>
          <w:rFonts w:cstheme="minorHAnsi"/>
          <w:lang w:eastAsia="en-GB"/>
        </w:rPr>
      </w:pPr>
      <w:r w:rsidRPr="00037AE9">
        <w:rPr>
          <w:rFonts w:cstheme="minorHAnsi"/>
          <w:lang w:eastAsia="en-GB"/>
        </w:rPr>
        <w:t xml:space="preserve">Šādam pacientam ar attiecīgi aizpildītu nosūtījuma veidlapu, ja būs norādīta augstāk minētā pacientu grupa, noteiktos izmeklējumus ārstniecības iestāde nodrošina </w:t>
      </w:r>
      <w:r w:rsidRPr="00037AE9">
        <w:rPr>
          <w:rFonts w:cstheme="minorHAnsi"/>
          <w:b/>
          <w:bCs/>
          <w:u w:val="single"/>
          <w:lang w:eastAsia="en-GB"/>
        </w:rPr>
        <w:t>10 darba dienu laikā</w:t>
      </w:r>
      <w:r w:rsidRPr="00037AE9">
        <w:rPr>
          <w:rFonts w:cstheme="minorHAnsi"/>
          <w:lang w:eastAsia="en-GB"/>
        </w:rPr>
        <w:t xml:space="preserve">, no brīža, kad pacients pierakstās uz izmeklējumiem. </w:t>
      </w:r>
    </w:p>
    <w:p w14:paraId="0165D629" w14:textId="77777777" w:rsidR="00037AE9" w:rsidRPr="00037AE9" w:rsidRDefault="00037AE9" w:rsidP="00037AE9">
      <w:pPr>
        <w:jc w:val="both"/>
        <w:rPr>
          <w:rFonts w:cstheme="minorHAnsi"/>
          <w:b/>
          <w:bCs/>
          <w:lang w:eastAsia="en-GB"/>
        </w:rPr>
      </w:pPr>
      <w:r w:rsidRPr="00037AE9">
        <w:rPr>
          <w:rFonts w:cstheme="minorHAnsi"/>
          <w:b/>
          <w:bCs/>
          <w:lang w:eastAsia="en-GB"/>
        </w:rPr>
        <w:t>!Pacients ir jāinformē</w:t>
      </w:r>
      <w:r w:rsidRPr="00037AE9">
        <w:rPr>
          <w:rFonts w:cstheme="minorHAnsi"/>
          <w:lang w:eastAsia="en-GB"/>
        </w:rPr>
        <w:t xml:space="preserve">, ka veicot pierakstu uz nozīmēto izmeklējumu jāsniedz informācija izvēlētai ārstniecības iestādei, ka izmeklējums tiks veikts “dzeltenā koridora” ietvaros un uz ģimenes ārsta vai speciālista nosūtījuma  ir sniegta informācija par pamatslimības diagnozes kodu un piederību noteiktai pacientu </w:t>
      </w:r>
      <w:r w:rsidRPr="00037AE9">
        <w:rPr>
          <w:rFonts w:cstheme="minorHAnsi"/>
        </w:rPr>
        <w:t xml:space="preserve">grupai </w:t>
      </w:r>
      <w:r w:rsidRPr="00037AE9">
        <w:rPr>
          <w:rFonts w:cstheme="minorHAnsi"/>
          <w:b/>
          <w:bCs/>
        </w:rPr>
        <w:t>“C2P –Ļaundabīgo audzēju recidīvu primāra diagnostika”.</w:t>
      </w:r>
    </w:p>
    <w:p w14:paraId="2F07CB69" w14:textId="77777777" w:rsidR="00037AE9" w:rsidRPr="00037AE9" w:rsidRDefault="00037AE9" w:rsidP="00037AE9">
      <w:pPr>
        <w:jc w:val="both"/>
        <w:rPr>
          <w:rFonts w:cstheme="minorHAnsi"/>
          <w:lang w:eastAsia="en-GB"/>
        </w:rPr>
      </w:pPr>
      <w:r w:rsidRPr="00037AE9">
        <w:rPr>
          <w:rFonts w:cstheme="minorHAnsi"/>
          <w:lang w:eastAsia="en-GB"/>
        </w:rPr>
        <w:t xml:space="preserve">“Dzeltenā koridora” sekundāra diagnostika jeb papildus citi nepieciešamie izmeklējumi vai speciālistu konsultācijas tiek veiktas </w:t>
      </w:r>
      <w:r w:rsidRPr="00037AE9">
        <w:rPr>
          <w:rFonts w:cstheme="minorHAnsi"/>
          <w:b/>
          <w:bCs/>
          <w:lang w:eastAsia="en-GB"/>
        </w:rPr>
        <w:t>30 dienu laikā</w:t>
      </w:r>
      <w:r w:rsidRPr="00037AE9">
        <w:rPr>
          <w:rFonts w:cstheme="minorHAnsi"/>
          <w:lang w:eastAsia="en-GB"/>
        </w:rPr>
        <w:t xml:space="preserve"> kopš pirmās speciālista konsultācijas, iekļaujot šajā termiņā arī ārstu konsilija lēmumu par pacienta ārstēšanas taktiku. Veicot “dzeltenā koridora” sekundārās diagnostikas pakalpojumus, ārstniecības iestāde norāda pacientu grupu </w:t>
      </w:r>
      <w:r w:rsidRPr="00037AE9">
        <w:rPr>
          <w:rFonts w:cstheme="minorHAnsi"/>
          <w:b/>
          <w:bCs/>
        </w:rPr>
        <w:t>„C2S - Ļaundabīgo audzēju recidīvu sekundārā diagnostika”.</w:t>
      </w:r>
    </w:p>
    <w:p w14:paraId="59134745" w14:textId="77777777" w:rsidR="00037AE9" w:rsidRPr="00037AE9" w:rsidRDefault="00037AE9" w:rsidP="00037AE9">
      <w:pPr>
        <w:jc w:val="both"/>
        <w:rPr>
          <w:rFonts w:cstheme="minorHAnsi"/>
        </w:rPr>
      </w:pPr>
    </w:p>
    <w:p w14:paraId="644C7F14" w14:textId="230EDAF2" w:rsidR="0030758B" w:rsidRDefault="00037AE9" w:rsidP="00037AE9">
      <w:pPr>
        <w:rPr>
          <w:rFonts w:cstheme="minorHAnsi"/>
          <w:b/>
          <w:bCs/>
          <w:lang w:eastAsia="en-GB"/>
        </w:rPr>
      </w:pPr>
      <w:r w:rsidRPr="00037AE9">
        <w:rPr>
          <w:rFonts w:cstheme="minorHAnsi"/>
          <w:b/>
          <w:bCs/>
          <w:lang w:eastAsia="en-GB"/>
        </w:rPr>
        <w:lastRenderedPageBreak/>
        <w:t>Veicot primāro vai sekundāro ļaundabīgo audzēju recidīvu diagnostiku, ārstniecības iestādes saņem samaksu par veiktajiem pakalpojumiem virs līgumā noteiktā finanšu apjoma, t.i. virs kvotas.</w:t>
      </w:r>
    </w:p>
    <w:p w14:paraId="0BF23E60" w14:textId="4D773A94" w:rsidR="00037AE9" w:rsidRPr="00037AE9" w:rsidRDefault="0067605D" w:rsidP="00037AE9">
      <w:pPr>
        <w:rPr>
          <w:rFonts w:cstheme="minorHAnsi"/>
          <w:b/>
          <w:bCs/>
        </w:rPr>
      </w:pPr>
      <w:r>
        <w:object w:dxaOrig="1520" w:dyaOrig="985" w14:anchorId="6A94C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6.2pt;height:49.2pt" o:ole="">
            <v:imagedata r:id="rId7" o:title=""/>
          </v:shape>
          <o:OLEObject Type="Embed" ProgID="Word.Document.12" ShapeID="_x0000_i1039" DrawAspect="Icon" ObjectID="_1731483040" r:id="rId8">
            <o:FieldCodes>\s</o:FieldCodes>
          </o:OLEObject>
        </w:object>
      </w:r>
      <w:r>
        <w:object w:dxaOrig="1520" w:dyaOrig="985" w14:anchorId="69647206">
          <v:shape id="_x0000_i1038" type="#_x0000_t75" style="width:76.2pt;height:49.2pt" o:ole="">
            <v:imagedata r:id="rId9" o:title=""/>
          </v:shape>
          <o:OLEObject Type="Embed" ProgID="Word.Document.12" ShapeID="_x0000_i1038" DrawAspect="Icon" ObjectID="_1731483041" r:id="rId10">
            <o:FieldCodes>\s</o:FieldCodes>
          </o:OLEObject>
        </w:object>
      </w:r>
    </w:p>
    <w:sectPr w:rsidR="00037AE9" w:rsidRPr="00037A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5"/>
  </w:num>
  <w:num w:numId="4" w16cid:durableId="1635259919">
    <w:abstractNumId w:val="21"/>
  </w:num>
  <w:num w:numId="5" w16cid:durableId="1657148472">
    <w:abstractNumId w:val="18"/>
  </w:num>
  <w:num w:numId="6" w16cid:durableId="1106003344">
    <w:abstractNumId w:val="12"/>
  </w:num>
  <w:num w:numId="7" w16cid:durableId="375082792">
    <w:abstractNumId w:val="17"/>
  </w:num>
  <w:num w:numId="8" w16cid:durableId="1798452046">
    <w:abstractNumId w:val="6"/>
  </w:num>
  <w:num w:numId="9" w16cid:durableId="1326278971">
    <w:abstractNumId w:val="22"/>
  </w:num>
  <w:num w:numId="10" w16cid:durableId="1244604513">
    <w:abstractNumId w:val="19"/>
  </w:num>
  <w:num w:numId="11" w16cid:durableId="174618294">
    <w:abstractNumId w:val="1"/>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9"/>
  </w:num>
  <w:num w:numId="17" w16cid:durableId="1079059332">
    <w:abstractNumId w:val="16"/>
  </w:num>
  <w:num w:numId="18" w16cid:durableId="1466317037">
    <w:abstractNumId w:val="11"/>
  </w:num>
  <w:num w:numId="19" w16cid:durableId="1294941619">
    <w:abstractNumId w:val="14"/>
  </w:num>
  <w:num w:numId="20" w16cid:durableId="348720614">
    <w:abstractNumId w:val="10"/>
  </w:num>
  <w:num w:numId="21" w16cid:durableId="1340541331">
    <w:abstractNumId w:val="13"/>
  </w:num>
  <w:num w:numId="22" w16cid:durableId="2119063125">
    <w:abstractNumId w:val="0"/>
  </w:num>
  <w:num w:numId="23" w16cid:durableId="1524972188">
    <w:abstractNumId w:val="7"/>
  </w:num>
  <w:num w:numId="24" w16cid:durableId="1907256432">
    <w:abstractNumId w:val="5"/>
    <w:lvlOverride w:ilvl="0"/>
    <w:lvlOverride w:ilvl="1"/>
    <w:lvlOverride w:ilvl="2"/>
    <w:lvlOverride w:ilvl="3"/>
    <w:lvlOverride w:ilvl="4"/>
    <w:lvlOverride w:ilvl="5"/>
    <w:lvlOverride w:ilvl="6"/>
    <w:lvlOverride w:ilvl="7"/>
    <w:lvlOverride w:ilvl="8"/>
  </w:num>
  <w:num w:numId="25" w16cid:durableId="1944649987">
    <w:abstractNumId w:val="24"/>
    <w:lvlOverride w:ilvl="0"/>
    <w:lvlOverride w:ilvl="1"/>
    <w:lvlOverride w:ilvl="2"/>
    <w:lvlOverride w:ilvl="3"/>
    <w:lvlOverride w:ilvl="4"/>
    <w:lvlOverride w:ilvl="5"/>
    <w:lvlOverride w:ilvl="6"/>
    <w:lvlOverride w:ilvl="7"/>
    <w:lvlOverride w:ilvl="8"/>
  </w:num>
  <w:num w:numId="26" w16cid:durableId="19519503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52523"/>
    <w:rsid w:val="00060409"/>
    <w:rsid w:val="00094C1B"/>
    <w:rsid w:val="000A20DA"/>
    <w:rsid w:val="000C6255"/>
    <w:rsid w:val="000E0C29"/>
    <w:rsid w:val="001774CD"/>
    <w:rsid w:val="00186157"/>
    <w:rsid w:val="001B1BDA"/>
    <w:rsid w:val="001D61FC"/>
    <w:rsid w:val="001E15BA"/>
    <w:rsid w:val="002215B2"/>
    <w:rsid w:val="002C35F4"/>
    <w:rsid w:val="00304706"/>
    <w:rsid w:val="0030758B"/>
    <w:rsid w:val="00327A80"/>
    <w:rsid w:val="00330428"/>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7605D"/>
    <w:rsid w:val="00693CF0"/>
    <w:rsid w:val="00695B0E"/>
    <w:rsid w:val="006A525A"/>
    <w:rsid w:val="006A5526"/>
    <w:rsid w:val="006E1BC3"/>
    <w:rsid w:val="006F0546"/>
    <w:rsid w:val="00712CFD"/>
    <w:rsid w:val="0071736A"/>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AEB"/>
    <w:rsid w:val="00B95F91"/>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kliniskie-algoritmi-un-pacientu-celi" TargetMode="External"/><Relationship Id="rId11" Type="http://schemas.openxmlformats.org/officeDocument/2006/relationships/fontTable" Target="fontTable.xml"/><Relationship Id="rId5" Type="http://schemas.openxmlformats.org/officeDocument/2006/relationships/hyperlink" Target="https://www.vmnvd.gov.lv/lv/laundabigo-audzeju-diagnostika" TargetMode="Externa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2084</Words>
  <Characters>1189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2022-12-02T08:39:00Z</dcterms:created>
  <dcterms:modified xsi:type="dcterms:W3CDTF">2022-12-02T08:44:00Z</dcterms:modified>
</cp:coreProperties>
</file>