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9F14" w14:textId="77777777" w:rsidR="001A367E" w:rsidRPr="00990E57" w:rsidRDefault="001A367E" w:rsidP="001A367E">
      <w:pPr>
        <w:jc w:val="right"/>
        <w:rPr>
          <w:i/>
          <w:sz w:val="22"/>
          <w:szCs w:val="22"/>
          <w:lang w:eastAsia="en-GB"/>
        </w:rPr>
      </w:pPr>
      <w:r w:rsidRPr="00990E57">
        <w:rPr>
          <w:i/>
          <w:sz w:val="22"/>
          <w:szCs w:val="22"/>
        </w:rPr>
        <w:t>Līguma par primārās veselības</w:t>
      </w:r>
    </w:p>
    <w:p w14:paraId="3E6383AE" w14:textId="77777777" w:rsidR="001A367E" w:rsidRPr="00990E57" w:rsidRDefault="001A367E" w:rsidP="001A367E">
      <w:pPr>
        <w:jc w:val="right"/>
        <w:rPr>
          <w:i/>
          <w:sz w:val="22"/>
          <w:szCs w:val="22"/>
        </w:rPr>
      </w:pPr>
      <w:r w:rsidRPr="00990E57">
        <w:rPr>
          <w:i/>
          <w:sz w:val="22"/>
          <w:szCs w:val="22"/>
        </w:rPr>
        <w:t>aprūpes pakalpojumu sniegšanu un apmaksu</w:t>
      </w:r>
    </w:p>
    <w:p w14:paraId="6565B6ED" w14:textId="32C933BC" w:rsidR="001A367E" w:rsidRPr="00990E57" w:rsidRDefault="001A367E" w:rsidP="000B7D51">
      <w:pPr>
        <w:jc w:val="right"/>
        <w:rPr>
          <w:i/>
          <w:color w:val="000000"/>
          <w:sz w:val="22"/>
          <w:szCs w:val="22"/>
        </w:rPr>
      </w:pPr>
      <w:r w:rsidRPr="00990E57">
        <w:rPr>
          <w:i/>
          <w:color w:val="000000"/>
          <w:sz w:val="22"/>
          <w:szCs w:val="22"/>
        </w:rPr>
        <w:t>6.1.</w:t>
      </w:r>
      <w:r w:rsidR="00EA2105">
        <w:rPr>
          <w:i/>
          <w:color w:val="000000"/>
          <w:sz w:val="22"/>
          <w:szCs w:val="22"/>
        </w:rPr>
        <w:t>3</w:t>
      </w:r>
      <w:r w:rsidR="00106C68">
        <w:rPr>
          <w:i/>
          <w:color w:val="000000"/>
          <w:sz w:val="22"/>
          <w:szCs w:val="22"/>
        </w:rPr>
        <w:t>1</w:t>
      </w:r>
      <w:r w:rsidR="00EA2105">
        <w:rPr>
          <w:i/>
          <w:color w:val="000000"/>
          <w:sz w:val="22"/>
          <w:szCs w:val="22"/>
        </w:rPr>
        <w:t>.</w:t>
      </w:r>
      <w:r w:rsidRPr="00990E57">
        <w:rPr>
          <w:i/>
          <w:color w:val="000000"/>
          <w:sz w:val="22"/>
          <w:szCs w:val="22"/>
        </w:rPr>
        <w:t xml:space="preserve"> punkts</w:t>
      </w:r>
    </w:p>
    <w:p w14:paraId="3988318E" w14:textId="77777777" w:rsidR="001A367E" w:rsidRDefault="001A367E" w:rsidP="000B7D51">
      <w:pPr>
        <w:jc w:val="right"/>
        <w:rPr>
          <w:color w:val="000000"/>
          <w:sz w:val="24"/>
          <w:szCs w:val="24"/>
        </w:rPr>
      </w:pPr>
    </w:p>
    <w:p w14:paraId="6197C14A" w14:textId="14D14C39" w:rsidR="001E25D4" w:rsidRPr="003B1A8E" w:rsidRDefault="001A367E" w:rsidP="001E25D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</w:t>
      </w:r>
      <w:r w:rsidR="00CA47DF">
        <w:rPr>
          <w:b/>
          <w:color w:val="000000"/>
          <w:sz w:val="24"/>
          <w:szCs w:val="24"/>
        </w:rPr>
        <w:t>krīninga aptveres maksājum</w:t>
      </w:r>
      <w:r w:rsidR="00EA2105">
        <w:rPr>
          <w:b/>
          <w:color w:val="000000"/>
          <w:sz w:val="24"/>
          <w:szCs w:val="24"/>
        </w:rPr>
        <w:t>u aprēķina un izmaksas</w:t>
      </w:r>
      <w:r w:rsidR="00CA47DF">
        <w:rPr>
          <w:b/>
          <w:color w:val="000000"/>
          <w:sz w:val="24"/>
          <w:szCs w:val="24"/>
        </w:rPr>
        <w:t xml:space="preserve"> kārtība</w:t>
      </w:r>
    </w:p>
    <w:p w14:paraId="15DF1418" w14:textId="77777777" w:rsidR="001E25D4" w:rsidRPr="003B1A8E" w:rsidRDefault="001E25D4" w:rsidP="001E25D4">
      <w:pPr>
        <w:jc w:val="center"/>
        <w:rPr>
          <w:b/>
          <w:color w:val="000000"/>
          <w:sz w:val="24"/>
          <w:szCs w:val="24"/>
        </w:rPr>
      </w:pPr>
    </w:p>
    <w:p w14:paraId="6CC118D7" w14:textId="542730DE" w:rsidR="00A42580" w:rsidRDefault="00A42580" w:rsidP="00990E5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IZPILDĪTĀJS nodrošina </w:t>
      </w:r>
      <w:r w:rsidR="00F06577">
        <w:rPr>
          <w:sz w:val="24"/>
          <w:szCs w:val="24"/>
        </w:rPr>
        <w:t xml:space="preserve">savā </w:t>
      </w:r>
      <w:r>
        <w:rPr>
          <w:sz w:val="24"/>
          <w:szCs w:val="24"/>
        </w:rPr>
        <w:t xml:space="preserve">praksē reģistrēto pacientu iesaistīšanu valsts organizētā vēža skrīningā, </w:t>
      </w:r>
      <w:r w:rsidR="00F06577">
        <w:rPr>
          <w:sz w:val="24"/>
          <w:szCs w:val="24"/>
        </w:rPr>
        <w:t>individuāli uzrunājot pacient</w:t>
      </w:r>
      <w:r w:rsidR="00E5777C">
        <w:rPr>
          <w:sz w:val="24"/>
          <w:szCs w:val="24"/>
        </w:rPr>
        <w:t>u un norādot pacientam iespējas</w:t>
      </w:r>
      <w:r w:rsidR="00F06577">
        <w:rPr>
          <w:sz w:val="24"/>
          <w:szCs w:val="24"/>
        </w:rPr>
        <w:t xml:space="preserve"> veikt izmeklējumus valsts organizētā skrīninga </w:t>
      </w:r>
      <w:r w:rsidR="00E5777C">
        <w:rPr>
          <w:sz w:val="24"/>
          <w:szCs w:val="24"/>
        </w:rPr>
        <w:t>ietvaros</w:t>
      </w:r>
      <w:r w:rsidR="00F06577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</w:p>
    <w:p w14:paraId="586B0391" w14:textId="537ECC6E" w:rsidR="00A42580" w:rsidRDefault="00A42580" w:rsidP="00A42580">
      <w:pPr>
        <w:tabs>
          <w:tab w:val="num" w:pos="426"/>
        </w:tabs>
        <w:jc w:val="both"/>
        <w:rPr>
          <w:sz w:val="24"/>
          <w:szCs w:val="24"/>
        </w:rPr>
      </w:pPr>
    </w:p>
    <w:p w14:paraId="18C46010" w14:textId="12488B79" w:rsidR="00F06577" w:rsidRPr="00F06577" w:rsidRDefault="00CA47DF" w:rsidP="00F0657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F06577">
        <w:rPr>
          <w:sz w:val="24"/>
          <w:szCs w:val="24"/>
        </w:rPr>
        <w:t>DIENESTS reiz</w:t>
      </w:r>
      <w:r w:rsidR="00484682" w:rsidRPr="00F06577">
        <w:rPr>
          <w:sz w:val="24"/>
          <w:szCs w:val="24"/>
        </w:rPr>
        <w:t>i</w:t>
      </w:r>
      <w:r w:rsidRPr="00F06577">
        <w:rPr>
          <w:sz w:val="24"/>
          <w:szCs w:val="24"/>
        </w:rPr>
        <w:t xml:space="preserve"> gadā</w:t>
      </w:r>
      <w:r w:rsidR="00484682" w:rsidRPr="00F06577">
        <w:rPr>
          <w:sz w:val="24"/>
          <w:szCs w:val="24"/>
        </w:rPr>
        <w:t xml:space="preserve"> </w:t>
      </w:r>
      <w:r w:rsidRPr="00F06577">
        <w:rPr>
          <w:sz w:val="24"/>
          <w:szCs w:val="24"/>
        </w:rPr>
        <w:t xml:space="preserve"> izvērtē IZPILDĪTĀJA sasniegtos</w:t>
      </w:r>
      <w:r w:rsidR="00E549E9" w:rsidRPr="00F06577">
        <w:rPr>
          <w:sz w:val="24"/>
          <w:szCs w:val="24"/>
        </w:rPr>
        <w:t xml:space="preserve"> </w:t>
      </w:r>
      <w:r w:rsidRPr="00F06577">
        <w:rPr>
          <w:sz w:val="24"/>
          <w:szCs w:val="24"/>
        </w:rPr>
        <w:t>zarnu vēža skrīninga</w:t>
      </w:r>
      <w:r w:rsidR="00AF1552" w:rsidRPr="00F06577">
        <w:rPr>
          <w:sz w:val="24"/>
          <w:szCs w:val="24"/>
        </w:rPr>
        <w:t xml:space="preserve"> un prostatas vēža skrīninga </w:t>
      </w:r>
      <w:r w:rsidR="00547943" w:rsidRPr="00F06577">
        <w:rPr>
          <w:sz w:val="24"/>
          <w:szCs w:val="24"/>
        </w:rPr>
        <w:t>atsaucības rādītājus</w:t>
      </w:r>
      <w:r w:rsidR="000B7D51" w:rsidRPr="00F06577">
        <w:rPr>
          <w:sz w:val="24"/>
          <w:szCs w:val="24"/>
        </w:rPr>
        <w:t xml:space="preserve"> un</w:t>
      </w:r>
      <w:r w:rsidR="001A367E" w:rsidRPr="00F06577">
        <w:rPr>
          <w:sz w:val="24"/>
          <w:szCs w:val="24"/>
        </w:rPr>
        <w:t xml:space="preserve"> divas reizes gadā izvērtē IZPILDĪTĀJA sasniegtos</w:t>
      </w:r>
      <w:r w:rsidR="000B7D51" w:rsidRPr="00F06577">
        <w:rPr>
          <w:sz w:val="24"/>
          <w:szCs w:val="24"/>
        </w:rPr>
        <w:t xml:space="preserve"> dzemdes kakla vēža</w:t>
      </w:r>
      <w:r w:rsidR="001A367E" w:rsidRPr="00F06577">
        <w:rPr>
          <w:sz w:val="24"/>
          <w:szCs w:val="24"/>
        </w:rPr>
        <w:t xml:space="preserve"> skrīninga</w:t>
      </w:r>
      <w:r w:rsidR="000B7D51" w:rsidRPr="00F06577">
        <w:rPr>
          <w:sz w:val="24"/>
          <w:szCs w:val="24"/>
        </w:rPr>
        <w:t xml:space="preserve"> un krūts vēža skrīninga atsaucības rādītājus </w:t>
      </w:r>
      <w:r w:rsidR="00547943" w:rsidRPr="00F06577">
        <w:rPr>
          <w:sz w:val="24"/>
          <w:szCs w:val="24"/>
        </w:rPr>
        <w:t>praksē reģistrēto mērķa grupas pacientu vidū</w:t>
      </w:r>
      <w:r w:rsidR="00E5777C">
        <w:rPr>
          <w:sz w:val="24"/>
          <w:szCs w:val="24"/>
        </w:rPr>
        <w:t>,</w:t>
      </w:r>
      <w:r w:rsidR="00F06577" w:rsidRPr="00F06577">
        <w:rPr>
          <w:sz w:val="24"/>
          <w:szCs w:val="24"/>
        </w:rPr>
        <w:t xml:space="preserve"> un veic IZPILDĪTĀJAM maksājumu par sasniegtajiem atsaucības radītājiem</w:t>
      </w:r>
      <w:r w:rsidR="00547943" w:rsidRPr="00F06577">
        <w:rPr>
          <w:sz w:val="24"/>
          <w:szCs w:val="24"/>
        </w:rPr>
        <w:t>.</w:t>
      </w:r>
    </w:p>
    <w:p w14:paraId="27D35283" w14:textId="5DA2E317" w:rsidR="000B7D51" w:rsidRPr="00990E57" w:rsidRDefault="000B7D51" w:rsidP="00990E57">
      <w:pPr>
        <w:tabs>
          <w:tab w:val="num" w:pos="426"/>
        </w:tabs>
        <w:ind w:left="426"/>
        <w:jc w:val="both"/>
        <w:rPr>
          <w:sz w:val="24"/>
          <w:szCs w:val="24"/>
        </w:rPr>
      </w:pPr>
    </w:p>
    <w:p w14:paraId="1AFE96E5" w14:textId="7A0E919F" w:rsidR="00E549E9" w:rsidRPr="00990E57" w:rsidRDefault="002E5057" w:rsidP="00F902FA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990E57">
        <w:rPr>
          <w:sz w:val="24"/>
          <w:szCs w:val="24"/>
        </w:rPr>
        <w:t>a IZPILDĪTĀJA praksē ir reģistrēt</w:t>
      </w:r>
      <w:r w:rsidR="00A63533">
        <w:rPr>
          <w:sz w:val="24"/>
          <w:szCs w:val="24"/>
        </w:rPr>
        <w:t>as</w:t>
      </w:r>
      <w:r w:rsidRPr="00990E57">
        <w:rPr>
          <w:sz w:val="24"/>
          <w:szCs w:val="24"/>
        </w:rPr>
        <w:t xml:space="preserve"> vismaz 20 </w:t>
      </w:r>
      <w:r w:rsidR="00A63533">
        <w:rPr>
          <w:sz w:val="24"/>
          <w:szCs w:val="24"/>
        </w:rPr>
        <w:t>personas</w:t>
      </w:r>
      <w:r w:rsidRPr="00990E57">
        <w:rPr>
          <w:sz w:val="24"/>
          <w:szCs w:val="24"/>
        </w:rPr>
        <w:t xml:space="preserve"> vecuma grupā </w:t>
      </w:r>
      <w:r>
        <w:rPr>
          <w:sz w:val="24"/>
          <w:szCs w:val="24"/>
        </w:rPr>
        <w:t xml:space="preserve">no 50 līdz 74 gadiem, DIENESTS </w:t>
      </w:r>
      <w:r w:rsidRPr="00990E57">
        <w:rPr>
          <w:sz w:val="24"/>
          <w:szCs w:val="24"/>
        </w:rPr>
        <w:t xml:space="preserve">aprēķina </w:t>
      </w:r>
      <w:r>
        <w:rPr>
          <w:sz w:val="24"/>
          <w:szCs w:val="24"/>
        </w:rPr>
        <w:t>i</w:t>
      </w:r>
      <w:r w:rsidR="000F48F6" w:rsidRPr="00990E57">
        <w:rPr>
          <w:sz w:val="24"/>
          <w:szCs w:val="24"/>
        </w:rPr>
        <w:t>zmaksājamo summu par</w:t>
      </w:r>
      <w:r w:rsidR="00F57202" w:rsidRPr="00990E57">
        <w:rPr>
          <w:sz w:val="24"/>
          <w:szCs w:val="24"/>
        </w:rPr>
        <w:t xml:space="preserve"> </w:t>
      </w:r>
      <w:r w:rsidR="00BF6F9A" w:rsidRPr="00990E57">
        <w:rPr>
          <w:sz w:val="24"/>
          <w:szCs w:val="24"/>
        </w:rPr>
        <w:t>sasnieg</w:t>
      </w:r>
      <w:r w:rsidR="000F48F6" w:rsidRPr="00990E57">
        <w:rPr>
          <w:sz w:val="24"/>
          <w:szCs w:val="24"/>
        </w:rPr>
        <w:t>tajiem</w:t>
      </w:r>
      <w:r w:rsidR="00BF6F9A" w:rsidRPr="00990E57">
        <w:rPr>
          <w:sz w:val="24"/>
          <w:szCs w:val="24"/>
        </w:rPr>
        <w:t xml:space="preserve"> zarnu vēža skrīninga atsaucības rādītāji</w:t>
      </w:r>
      <w:r w:rsidR="000F48F6" w:rsidRPr="00990E57">
        <w:rPr>
          <w:sz w:val="24"/>
          <w:szCs w:val="24"/>
        </w:rPr>
        <w:t>em</w:t>
      </w:r>
      <w:r w:rsidR="009D7956">
        <w:rPr>
          <w:sz w:val="24"/>
          <w:szCs w:val="24"/>
        </w:rPr>
        <w:t>,</w:t>
      </w:r>
      <w:r w:rsidR="000F48F6" w:rsidRPr="00990E57">
        <w:rPr>
          <w:sz w:val="24"/>
          <w:szCs w:val="24"/>
        </w:rPr>
        <w:t xml:space="preserve"> ņemot vērā:</w:t>
      </w:r>
      <w:r w:rsidR="001A367E" w:rsidRPr="00990E57">
        <w:rPr>
          <w:sz w:val="24"/>
          <w:szCs w:val="24"/>
        </w:rPr>
        <w:t xml:space="preserve"> </w:t>
      </w:r>
      <w:r w:rsidR="00FA20B2">
        <w:rPr>
          <w:sz w:val="24"/>
          <w:szCs w:val="24"/>
        </w:rPr>
        <w:t xml:space="preserve"> </w:t>
      </w:r>
    </w:p>
    <w:p w14:paraId="6DDC1369" w14:textId="28B06539" w:rsidR="00174B55" w:rsidRPr="00990E57" w:rsidRDefault="00174B55" w:rsidP="00174B55">
      <w:pPr>
        <w:pStyle w:val="ListParagraph"/>
        <w:numPr>
          <w:ilvl w:val="1"/>
          <w:numId w:val="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</w:t>
      </w:r>
      <w:r w:rsidRPr="00F902FA">
        <w:rPr>
          <w:iCs/>
          <w:sz w:val="24"/>
          <w:szCs w:val="24"/>
        </w:rPr>
        <w:t xml:space="preserve">ērķa grupu, kas </w:t>
      </w:r>
      <w:r w:rsidRPr="00990E57">
        <w:rPr>
          <w:sz w:val="24"/>
          <w:szCs w:val="24"/>
        </w:rPr>
        <w:t>ir IZPILDĪTĀJA praksē reģistrēto pacientu skaits vecumā no 50 -</w:t>
      </w:r>
      <w:r>
        <w:rPr>
          <w:sz w:val="24"/>
          <w:szCs w:val="24"/>
        </w:rPr>
        <w:t xml:space="preserve"> </w:t>
      </w:r>
      <w:r w:rsidRPr="00990E57">
        <w:rPr>
          <w:sz w:val="24"/>
          <w:szCs w:val="24"/>
        </w:rPr>
        <w:t>74 gadiem uz vērtējam</w:t>
      </w:r>
      <w:r>
        <w:rPr>
          <w:sz w:val="24"/>
          <w:szCs w:val="24"/>
        </w:rPr>
        <w:t>ā</w:t>
      </w:r>
      <w:r w:rsidRPr="00990E57">
        <w:rPr>
          <w:sz w:val="24"/>
          <w:szCs w:val="24"/>
        </w:rPr>
        <w:t xml:space="preserve"> perioda </w:t>
      </w:r>
      <w:r>
        <w:rPr>
          <w:sz w:val="24"/>
          <w:szCs w:val="24"/>
        </w:rPr>
        <w:t>(</w:t>
      </w:r>
      <w:r>
        <w:rPr>
          <w:iCs/>
          <w:sz w:val="24"/>
          <w:szCs w:val="24"/>
        </w:rPr>
        <w:t>iepriekšējo divu gadu period</w:t>
      </w:r>
      <w:r w:rsidR="00970EBF">
        <w:rPr>
          <w:iCs/>
          <w:sz w:val="24"/>
          <w:szCs w:val="24"/>
        </w:rPr>
        <w:t>s</w:t>
      </w:r>
      <w:r>
        <w:rPr>
          <w:iCs/>
          <w:sz w:val="24"/>
          <w:szCs w:val="24"/>
        </w:rPr>
        <w:t xml:space="preserve"> no </w:t>
      </w:r>
      <w:r w:rsidRPr="00990E57">
        <w:rPr>
          <w:iCs/>
          <w:sz w:val="24"/>
          <w:szCs w:val="24"/>
        </w:rPr>
        <w:t>1.jūlija</w:t>
      </w:r>
      <w:r w:rsidRPr="00F902FA">
        <w:rPr>
          <w:iCs/>
          <w:sz w:val="24"/>
          <w:szCs w:val="24"/>
        </w:rPr>
        <w:t xml:space="preserve"> līdz</w:t>
      </w:r>
      <w:r w:rsidRPr="00990E57">
        <w:rPr>
          <w:iCs/>
          <w:sz w:val="24"/>
          <w:szCs w:val="24"/>
        </w:rPr>
        <w:t xml:space="preserve"> </w:t>
      </w:r>
      <w:r w:rsidRPr="00F902FA">
        <w:rPr>
          <w:iCs/>
          <w:sz w:val="24"/>
          <w:szCs w:val="24"/>
        </w:rPr>
        <w:t>30.jūnijam</w:t>
      </w:r>
      <w:r>
        <w:rPr>
          <w:iCs/>
          <w:sz w:val="24"/>
          <w:szCs w:val="24"/>
        </w:rPr>
        <w:t xml:space="preserve">) </w:t>
      </w:r>
      <w:r w:rsidRPr="00990E57">
        <w:rPr>
          <w:sz w:val="24"/>
          <w:szCs w:val="24"/>
        </w:rPr>
        <w:t>pēdējo dienu</w:t>
      </w:r>
      <w:r>
        <w:rPr>
          <w:sz w:val="24"/>
          <w:szCs w:val="24"/>
        </w:rPr>
        <w:t>. Aprēķinā netiek ņemti vērā pacienti, kura reģistrācija ir bloķēta;</w:t>
      </w:r>
    </w:p>
    <w:p w14:paraId="341B8EAB" w14:textId="4D0FB2E2" w:rsidR="006E5CB3" w:rsidRDefault="00174B55" w:rsidP="00990E57">
      <w:pPr>
        <w:pStyle w:val="ListParagraph"/>
        <w:numPr>
          <w:ilvl w:val="1"/>
          <w:numId w:val="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pacientiem </w:t>
      </w:r>
      <w:r w:rsidR="00A63533">
        <w:rPr>
          <w:iCs/>
          <w:sz w:val="24"/>
          <w:szCs w:val="24"/>
        </w:rPr>
        <w:t>v</w:t>
      </w:r>
      <w:r w:rsidR="00BF6F9A" w:rsidRPr="00990E57">
        <w:rPr>
          <w:iCs/>
          <w:sz w:val="24"/>
          <w:szCs w:val="24"/>
        </w:rPr>
        <w:t xml:space="preserve">eikto </w:t>
      </w:r>
      <w:r w:rsidR="00A63533">
        <w:rPr>
          <w:iCs/>
          <w:sz w:val="24"/>
          <w:szCs w:val="24"/>
        </w:rPr>
        <w:t xml:space="preserve">zarna vēža skrīninga </w:t>
      </w:r>
      <w:r w:rsidR="00BF6F9A" w:rsidRPr="00990E57">
        <w:rPr>
          <w:iCs/>
          <w:sz w:val="24"/>
          <w:szCs w:val="24"/>
        </w:rPr>
        <w:t>izmeklējumu skait</w:t>
      </w:r>
      <w:r w:rsidR="00FF6EB0" w:rsidRPr="00990E57">
        <w:rPr>
          <w:iCs/>
          <w:sz w:val="24"/>
          <w:szCs w:val="24"/>
        </w:rPr>
        <w:t>u, ko iegūst</w:t>
      </w:r>
      <w:r w:rsidR="009270E4">
        <w:rPr>
          <w:iCs/>
          <w:sz w:val="24"/>
          <w:szCs w:val="24"/>
        </w:rPr>
        <w:t>,</w:t>
      </w:r>
      <w:r w:rsidR="00BF6F9A" w:rsidRPr="00990E57">
        <w:rPr>
          <w:iCs/>
          <w:sz w:val="24"/>
          <w:szCs w:val="24"/>
        </w:rPr>
        <w:t xml:space="preserve"> atlas</w:t>
      </w:r>
      <w:r w:rsidR="00FF6EB0" w:rsidRPr="00990E57">
        <w:rPr>
          <w:iCs/>
          <w:sz w:val="24"/>
          <w:szCs w:val="24"/>
        </w:rPr>
        <w:t>ot datus</w:t>
      </w:r>
      <w:r w:rsidR="00BF6F9A" w:rsidRPr="00990E57">
        <w:rPr>
          <w:iCs/>
          <w:sz w:val="24"/>
          <w:szCs w:val="24"/>
        </w:rPr>
        <w:t xml:space="preserve"> uz </w:t>
      </w:r>
      <w:r w:rsidR="003F0DF8" w:rsidRPr="00990E57">
        <w:rPr>
          <w:iCs/>
          <w:sz w:val="24"/>
          <w:szCs w:val="24"/>
        </w:rPr>
        <w:t>31</w:t>
      </w:r>
      <w:r w:rsidR="00BF6F9A" w:rsidRPr="00990E57">
        <w:rPr>
          <w:iCs/>
          <w:sz w:val="24"/>
          <w:szCs w:val="24"/>
        </w:rPr>
        <w:t>.</w:t>
      </w:r>
      <w:r w:rsidR="003F0DF8" w:rsidRPr="00990E57">
        <w:rPr>
          <w:iCs/>
          <w:sz w:val="24"/>
          <w:szCs w:val="24"/>
        </w:rPr>
        <w:t>augustu</w:t>
      </w:r>
      <w:r w:rsidR="00BF6F9A" w:rsidRPr="00990E57">
        <w:rPr>
          <w:iCs/>
          <w:sz w:val="24"/>
          <w:szCs w:val="24"/>
        </w:rPr>
        <w:t xml:space="preserve"> par </w:t>
      </w:r>
      <w:r w:rsidRPr="00F902FA">
        <w:rPr>
          <w:iCs/>
          <w:sz w:val="24"/>
          <w:szCs w:val="24"/>
        </w:rPr>
        <w:t>IZPILDĪTĀJA praksē reģistrēt</w:t>
      </w:r>
      <w:r>
        <w:rPr>
          <w:iCs/>
          <w:sz w:val="24"/>
          <w:szCs w:val="24"/>
        </w:rPr>
        <w:t xml:space="preserve">iem </w:t>
      </w:r>
      <w:r w:rsidRPr="00F902FA">
        <w:rPr>
          <w:iCs/>
          <w:sz w:val="24"/>
          <w:szCs w:val="24"/>
        </w:rPr>
        <w:t>pacient</w:t>
      </w:r>
      <w:r>
        <w:rPr>
          <w:iCs/>
          <w:sz w:val="24"/>
          <w:szCs w:val="24"/>
        </w:rPr>
        <w:t>iem</w:t>
      </w:r>
      <w:r w:rsidRPr="00990E57" w:rsidDel="00A6353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vērtējamā periodā </w:t>
      </w:r>
      <w:r w:rsidR="00BF6F9A" w:rsidRPr="00990E57">
        <w:rPr>
          <w:iCs/>
          <w:sz w:val="24"/>
          <w:szCs w:val="24"/>
        </w:rPr>
        <w:t>veiktaj</w:t>
      </w:r>
      <w:r w:rsidR="00FF6EB0" w:rsidRPr="00990E57">
        <w:rPr>
          <w:iCs/>
          <w:sz w:val="24"/>
          <w:szCs w:val="24"/>
        </w:rPr>
        <w:t xml:space="preserve">ām manipulācijām </w:t>
      </w:r>
      <w:r w:rsidR="00FF6EB0" w:rsidRPr="00990E57">
        <w:rPr>
          <w:i/>
          <w:sz w:val="24"/>
          <w:szCs w:val="24"/>
        </w:rPr>
        <w:t xml:space="preserve">60126- I-Fobt tests (negatīvs) </w:t>
      </w:r>
      <w:r w:rsidR="00FF6EB0" w:rsidRPr="00213BFC">
        <w:rPr>
          <w:iCs/>
          <w:sz w:val="24"/>
          <w:szCs w:val="24"/>
        </w:rPr>
        <w:t>un</w:t>
      </w:r>
      <w:r w:rsidR="00FF6EB0" w:rsidRPr="00990E57">
        <w:rPr>
          <w:i/>
          <w:sz w:val="24"/>
          <w:szCs w:val="24"/>
        </w:rPr>
        <w:t xml:space="preserve"> 60127- I-Fobt tests (pozitīvs)</w:t>
      </w:r>
      <w:r w:rsidR="009270E4">
        <w:rPr>
          <w:iCs/>
          <w:sz w:val="24"/>
          <w:szCs w:val="24"/>
        </w:rPr>
        <w:t>;</w:t>
      </w:r>
    </w:p>
    <w:p w14:paraId="4FBD26E3" w14:textId="70366AA6" w:rsidR="00114BEE" w:rsidRPr="00114BEE" w:rsidRDefault="00B81A67" w:rsidP="00250336">
      <w:pPr>
        <w:pStyle w:val="ListParagraph"/>
        <w:numPr>
          <w:ilvl w:val="1"/>
          <w:numId w:val="1"/>
        </w:numPr>
        <w:jc w:val="both"/>
        <w:rPr>
          <w:iCs/>
          <w:sz w:val="24"/>
          <w:szCs w:val="24"/>
        </w:rPr>
      </w:pPr>
      <w:r w:rsidRPr="00250336">
        <w:rPr>
          <w:sz w:val="24"/>
          <w:szCs w:val="24"/>
        </w:rPr>
        <w:t>a</w:t>
      </w:r>
      <w:r w:rsidR="000F48F6" w:rsidRPr="00250336">
        <w:rPr>
          <w:sz w:val="24"/>
          <w:szCs w:val="24"/>
        </w:rPr>
        <w:t>tsaucības rādītāj</w:t>
      </w:r>
      <w:r w:rsidR="00114BEE">
        <w:rPr>
          <w:sz w:val="24"/>
          <w:szCs w:val="24"/>
        </w:rPr>
        <w:t>u</w:t>
      </w:r>
      <w:r w:rsidR="000F48F6" w:rsidRPr="00250336">
        <w:rPr>
          <w:sz w:val="24"/>
          <w:szCs w:val="24"/>
        </w:rPr>
        <w:t xml:space="preserve"> (%), ko iegūst </w:t>
      </w:r>
      <w:r w:rsidR="00A86749" w:rsidRPr="00250336">
        <w:rPr>
          <w:sz w:val="24"/>
          <w:szCs w:val="24"/>
        </w:rPr>
        <w:t xml:space="preserve">šī dokumenta </w:t>
      </w:r>
      <w:r w:rsidRPr="00250336">
        <w:rPr>
          <w:sz w:val="24"/>
          <w:szCs w:val="24"/>
        </w:rPr>
        <w:t>3</w:t>
      </w:r>
      <w:r w:rsidR="00D7577D" w:rsidRPr="00250336">
        <w:rPr>
          <w:sz w:val="24"/>
          <w:szCs w:val="24"/>
        </w:rPr>
        <w:t>.</w:t>
      </w:r>
      <w:r w:rsidR="00174B55">
        <w:rPr>
          <w:sz w:val="24"/>
          <w:szCs w:val="24"/>
        </w:rPr>
        <w:t>2</w:t>
      </w:r>
      <w:r w:rsidR="00D7577D" w:rsidRPr="00250336">
        <w:rPr>
          <w:sz w:val="24"/>
          <w:szCs w:val="24"/>
        </w:rPr>
        <w:t>.</w:t>
      </w:r>
      <w:r w:rsidR="00D52DEB" w:rsidRPr="00250336">
        <w:rPr>
          <w:sz w:val="24"/>
          <w:szCs w:val="24"/>
        </w:rPr>
        <w:t xml:space="preserve">apakšpunktā </w:t>
      </w:r>
      <w:r w:rsidR="008F2B35">
        <w:rPr>
          <w:sz w:val="24"/>
          <w:szCs w:val="24"/>
        </w:rPr>
        <w:t>norādīto</w:t>
      </w:r>
      <w:r w:rsidR="00A86749" w:rsidRPr="00250336">
        <w:rPr>
          <w:sz w:val="24"/>
          <w:szCs w:val="24"/>
        </w:rPr>
        <w:t xml:space="preserve"> </w:t>
      </w:r>
      <w:r w:rsidR="00306281" w:rsidRPr="00250336">
        <w:rPr>
          <w:sz w:val="24"/>
          <w:szCs w:val="24"/>
        </w:rPr>
        <w:t>manipulāciju</w:t>
      </w:r>
      <w:r w:rsidR="00D52DEB" w:rsidRPr="00250336">
        <w:rPr>
          <w:sz w:val="24"/>
          <w:szCs w:val="24"/>
        </w:rPr>
        <w:t xml:space="preserve"> </w:t>
      </w:r>
      <w:r w:rsidR="00D7577D" w:rsidRPr="00250336">
        <w:rPr>
          <w:sz w:val="24"/>
          <w:szCs w:val="24"/>
        </w:rPr>
        <w:t>skaitu,</w:t>
      </w:r>
      <w:r w:rsidR="00D52DEB" w:rsidRPr="00250336">
        <w:rPr>
          <w:sz w:val="24"/>
          <w:szCs w:val="24"/>
        </w:rPr>
        <w:t xml:space="preserve"> dalot ar</w:t>
      </w:r>
      <w:r w:rsidR="00D7577D" w:rsidRPr="00250336">
        <w:rPr>
          <w:sz w:val="24"/>
          <w:szCs w:val="24"/>
        </w:rPr>
        <w:t xml:space="preserve"> </w:t>
      </w:r>
      <w:r w:rsidR="00A86749" w:rsidRPr="00250336">
        <w:rPr>
          <w:sz w:val="24"/>
          <w:szCs w:val="24"/>
        </w:rPr>
        <w:t xml:space="preserve">šī dokumenta </w:t>
      </w:r>
      <w:r w:rsidRPr="00250336">
        <w:rPr>
          <w:sz w:val="24"/>
          <w:szCs w:val="24"/>
        </w:rPr>
        <w:t>3</w:t>
      </w:r>
      <w:r w:rsidR="00D7577D" w:rsidRPr="00250336">
        <w:rPr>
          <w:sz w:val="24"/>
          <w:szCs w:val="24"/>
        </w:rPr>
        <w:t>.</w:t>
      </w:r>
      <w:r w:rsidR="00174B55">
        <w:rPr>
          <w:sz w:val="24"/>
          <w:szCs w:val="24"/>
        </w:rPr>
        <w:t>1</w:t>
      </w:r>
      <w:r w:rsidR="00D7577D" w:rsidRPr="00250336">
        <w:rPr>
          <w:sz w:val="24"/>
          <w:szCs w:val="24"/>
        </w:rPr>
        <w:t>.</w:t>
      </w:r>
      <w:r w:rsidR="00D52DEB" w:rsidRPr="00250336">
        <w:rPr>
          <w:sz w:val="24"/>
          <w:szCs w:val="24"/>
        </w:rPr>
        <w:t xml:space="preserve">apakšpunktā </w:t>
      </w:r>
      <w:r w:rsidR="008F2B35">
        <w:rPr>
          <w:sz w:val="24"/>
          <w:szCs w:val="24"/>
        </w:rPr>
        <w:t>norādīto</w:t>
      </w:r>
      <w:r w:rsidR="00AA4ED5" w:rsidRPr="00250336">
        <w:rPr>
          <w:sz w:val="24"/>
          <w:szCs w:val="24"/>
        </w:rPr>
        <w:t xml:space="preserve"> mērķa grupas lielumu</w:t>
      </w:r>
      <w:r w:rsidR="00114BEE">
        <w:rPr>
          <w:sz w:val="24"/>
          <w:szCs w:val="24"/>
        </w:rPr>
        <w:t>;</w:t>
      </w:r>
      <w:r w:rsidR="00250336" w:rsidRPr="00250336">
        <w:rPr>
          <w:sz w:val="24"/>
          <w:szCs w:val="24"/>
        </w:rPr>
        <w:t xml:space="preserve"> </w:t>
      </w:r>
    </w:p>
    <w:p w14:paraId="5F191942" w14:textId="734C107C" w:rsidR="00250336" w:rsidRPr="00990E57" w:rsidRDefault="00174B55" w:rsidP="00250336">
      <w:pPr>
        <w:pStyle w:val="ListParagraph"/>
        <w:numPr>
          <w:ilvl w:val="1"/>
          <w:numId w:val="1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atsaucības rādītāja </w:t>
      </w:r>
      <w:r w:rsidR="00250336" w:rsidRPr="00250336">
        <w:rPr>
          <w:sz w:val="24"/>
          <w:szCs w:val="24"/>
        </w:rPr>
        <w:t>vērību</w:t>
      </w:r>
      <w:r w:rsidR="00114BEE">
        <w:rPr>
          <w:sz w:val="24"/>
          <w:szCs w:val="24"/>
        </w:rPr>
        <w:t>, ko</w:t>
      </w:r>
      <w:r w:rsidR="00250336" w:rsidRPr="00250336">
        <w:rPr>
          <w:sz w:val="24"/>
          <w:szCs w:val="24"/>
        </w:rPr>
        <w:t xml:space="preserve"> nosak</w:t>
      </w:r>
      <w:r w:rsidR="00114BEE">
        <w:rPr>
          <w:sz w:val="24"/>
          <w:szCs w:val="24"/>
        </w:rPr>
        <w:t>a</w:t>
      </w:r>
      <w:r w:rsidR="00250336" w:rsidRPr="00250336">
        <w:rPr>
          <w:sz w:val="24"/>
          <w:szCs w:val="24"/>
        </w:rPr>
        <w:t xml:space="preserve"> šādā k</w:t>
      </w:r>
      <w:r w:rsidR="00250336">
        <w:rPr>
          <w:sz w:val="24"/>
          <w:szCs w:val="24"/>
        </w:rPr>
        <w:t>ār</w:t>
      </w:r>
      <w:r w:rsidR="00250336" w:rsidRPr="00250336">
        <w:rPr>
          <w:sz w:val="24"/>
          <w:szCs w:val="24"/>
        </w:rPr>
        <w:t>tībā:</w:t>
      </w:r>
    </w:p>
    <w:p w14:paraId="1B7EE8B0" w14:textId="766F4253" w:rsidR="00250336" w:rsidRPr="00250336" w:rsidRDefault="00092DA4" w:rsidP="00EA267C">
      <w:pPr>
        <w:pStyle w:val="ListParagraph"/>
        <w:numPr>
          <w:ilvl w:val="2"/>
          <w:numId w:val="1"/>
        </w:numPr>
        <w:tabs>
          <w:tab w:val="clear" w:pos="1440"/>
        </w:tabs>
        <w:ind w:left="993" w:hanging="567"/>
        <w:jc w:val="both"/>
        <w:rPr>
          <w:iCs/>
          <w:sz w:val="24"/>
          <w:szCs w:val="24"/>
        </w:rPr>
      </w:pPr>
      <w:r w:rsidRPr="00250336">
        <w:rPr>
          <w:iCs/>
          <w:sz w:val="24"/>
          <w:szCs w:val="24"/>
        </w:rPr>
        <w:t xml:space="preserve">ja </w:t>
      </w:r>
      <w:r w:rsidR="00997C19" w:rsidRPr="00250336">
        <w:rPr>
          <w:iCs/>
          <w:sz w:val="24"/>
          <w:szCs w:val="24"/>
        </w:rPr>
        <w:t>sasniegtais atsaucības rādītājs (%)</w:t>
      </w:r>
      <w:r w:rsidRPr="00250336">
        <w:rPr>
          <w:iCs/>
          <w:sz w:val="24"/>
          <w:szCs w:val="24"/>
        </w:rPr>
        <w:t xml:space="preserve"> ir 20% - 40% robežās, summa izmaksai ir 10 EUR</w:t>
      </w:r>
      <w:r w:rsidR="00A2404C" w:rsidRPr="00250336">
        <w:rPr>
          <w:iCs/>
          <w:sz w:val="24"/>
          <w:szCs w:val="24"/>
        </w:rPr>
        <w:t xml:space="preserve"> par katru</w:t>
      </w:r>
      <w:r w:rsidR="00A86749" w:rsidRPr="00250336">
        <w:rPr>
          <w:iCs/>
          <w:sz w:val="24"/>
          <w:szCs w:val="24"/>
        </w:rPr>
        <w:t xml:space="preserve"> šī dokumenta</w:t>
      </w:r>
      <w:r w:rsidR="00A2404C" w:rsidRPr="00250336">
        <w:rPr>
          <w:iCs/>
          <w:sz w:val="24"/>
          <w:szCs w:val="24"/>
        </w:rPr>
        <w:t xml:space="preserve"> </w:t>
      </w:r>
      <w:r w:rsidR="00997C19" w:rsidRPr="00250336">
        <w:rPr>
          <w:iCs/>
          <w:sz w:val="24"/>
          <w:szCs w:val="24"/>
        </w:rPr>
        <w:t>3</w:t>
      </w:r>
      <w:r w:rsidR="00A2404C" w:rsidRPr="00250336">
        <w:rPr>
          <w:iCs/>
          <w:sz w:val="24"/>
          <w:szCs w:val="24"/>
        </w:rPr>
        <w:t>.</w:t>
      </w:r>
      <w:r w:rsidR="00F05AB1">
        <w:rPr>
          <w:iCs/>
          <w:sz w:val="24"/>
          <w:szCs w:val="24"/>
        </w:rPr>
        <w:t>2</w:t>
      </w:r>
      <w:r w:rsidR="00A2404C" w:rsidRPr="00250336">
        <w:rPr>
          <w:iCs/>
          <w:sz w:val="24"/>
          <w:szCs w:val="24"/>
        </w:rPr>
        <w:t>.apakšpunktā norādīto izmeklējumu</w:t>
      </w:r>
      <w:r w:rsidR="003D4305" w:rsidRPr="00250336">
        <w:rPr>
          <w:iCs/>
          <w:sz w:val="24"/>
          <w:szCs w:val="24"/>
        </w:rPr>
        <w:t>, kas veikts periodā no iepriekšējā gada 1.jūlija līdz tekošā gada 30.jūnijam</w:t>
      </w:r>
      <w:r w:rsidR="005446F6">
        <w:rPr>
          <w:rStyle w:val="FootnoteReference"/>
          <w:iCs/>
          <w:sz w:val="24"/>
          <w:szCs w:val="24"/>
        </w:rPr>
        <w:footnoteReference w:id="1"/>
      </w:r>
      <w:r w:rsidR="003D4305" w:rsidRPr="00250336">
        <w:rPr>
          <w:iCs/>
          <w:sz w:val="24"/>
          <w:szCs w:val="24"/>
        </w:rPr>
        <w:t>;</w:t>
      </w:r>
    </w:p>
    <w:p w14:paraId="642A84CA" w14:textId="10C04457" w:rsidR="00092DA4" w:rsidRPr="00EA267C" w:rsidRDefault="00092DA4" w:rsidP="00EA267C">
      <w:pPr>
        <w:pStyle w:val="ListParagraph"/>
        <w:numPr>
          <w:ilvl w:val="2"/>
          <w:numId w:val="1"/>
        </w:numPr>
        <w:tabs>
          <w:tab w:val="clear" w:pos="1440"/>
        </w:tabs>
        <w:ind w:left="993" w:hanging="567"/>
        <w:jc w:val="both"/>
        <w:rPr>
          <w:iCs/>
          <w:sz w:val="24"/>
          <w:szCs w:val="24"/>
        </w:rPr>
      </w:pPr>
      <w:r w:rsidRPr="00EA267C">
        <w:rPr>
          <w:iCs/>
          <w:sz w:val="24"/>
          <w:szCs w:val="24"/>
        </w:rPr>
        <w:t xml:space="preserve">ja </w:t>
      </w:r>
      <w:r w:rsidR="0045058C" w:rsidRPr="00EA267C">
        <w:rPr>
          <w:iCs/>
          <w:sz w:val="24"/>
          <w:szCs w:val="24"/>
        </w:rPr>
        <w:t xml:space="preserve">sasniegtais atsaucības rādītājs (%) ir </w:t>
      </w:r>
      <w:r w:rsidRPr="00EA267C">
        <w:rPr>
          <w:iCs/>
          <w:sz w:val="24"/>
          <w:szCs w:val="24"/>
        </w:rPr>
        <w:t xml:space="preserve">41% un vairāk, summa izmaksai ir 20 EUR </w:t>
      </w:r>
      <w:r w:rsidR="00A2404C" w:rsidRPr="00EA267C">
        <w:rPr>
          <w:iCs/>
          <w:sz w:val="24"/>
          <w:szCs w:val="24"/>
        </w:rPr>
        <w:t xml:space="preserve">par katru </w:t>
      </w:r>
      <w:r w:rsidR="00A86749" w:rsidRPr="00EA267C">
        <w:rPr>
          <w:iCs/>
          <w:sz w:val="24"/>
          <w:szCs w:val="24"/>
        </w:rPr>
        <w:t>šī dokumenta 3</w:t>
      </w:r>
      <w:r w:rsidR="00A2404C" w:rsidRPr="00EA267C">
        <w:rPr>
          <w:iCs/>
          <w:sz w:val="24"/>
          <w:szCs w:val="24"/>
        </w:rPr>
        <w:t>.</w:t>
      </w:r>
      <w:r w:rsidR="00F05AB1">
        <w:rPr>
          <w:iCs/>
          <w:sz w:val="24"/>
          <w:szCs w:val="24"/>
        </w:rPr>
        <w:t>2</w:t>
      </w:r>
      <w:r w:rsidR="00A2404C" w:rsidRPr="00EA267C">
        <w:rPr>
          <w:iCs/>
          <w:sz w:val="24"/>
          <w:szCs w:val="24"/>
        </w:rPr>
        <w:t>.apakšpunktā norādīto izmeklējumu</w:t>
      </w:r>
      <w:r w:rsidR="003D4305" w:rsidRPr="00EA267C">
        <w:rPr>
          <w:iCs/>
          <w:sz w:val="24"/>
          <w:szCs w:val="24"/>
        </w:rPr>
        <w:t>, kas veikts periodā no iepriekšējā gada 1.jūlija līdz tekošā gada 30.jūnijam</w:t>
      </w:r>
      <w:r w:rsidR="0045058C">
        <w:rPr>
          <w:rStyle w:val="FootnoteReference"/>
          <w:iCs/>
          <w:sz w:val="24"/>
          <w:szCs w:val="24"/>
        </w:rPr>
        <w:footnoteReference w:id="2"/>
      </w:r>
      <w:r w:rsidR="003D4305" w:rsidRPr="00EA267C">
        <w:rPr>
          <w:iCs/>
          <w:sz w:val="24"/>
          <w:szCs w:val="24"/>
        </w:rPr>
        <w:t>.</w:t>
      </w:r>
      <w:r w:rsidR="0045058C" w:rsidRPr="00EA267C">
        <w:rPr>
          <w:iCs/>
          <w:sz w:val="24"/>
          <w:szCs w:val="24"/>
        </w:rPr>
        <w:t xml:space="preserve"> </w:t>
      </w:r>
    </w:p>
    <w:p w14:paraId="1209DB9B" w14:textId="77777777" w:rsidR="006E5CB3" w:rsidRPr="00990E57" w:rsidRDefault="006E5CB3" w:rsidP="00990E57">
      <w:pPr>
        <w:jc w:val="both"/>
        <w:rPr>
          <w:sz w:val="24"/>
          <w:szCs w:val="24"/>
        </w:rPr>
      </w:pPr>
    </w:p>
    <w:p w14:paraId="10ACCCC3" w14:textId="0F0706FB" w:rsidR="001F4410" w:rsidRPr="00990E57" w:rsidRDefault="00A86749" w:rsidP="00990E5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990E57">
        <w:rPr>
          <w:sz w:val="24"/>
          <w:szCs w:val="24"/>
        </w:rPr>
        <w:t>a IZPILDĪTĀJA praksē ir reģistrēt</w:t>
      </w:r>
      <w:r>
        <w:rPr>
          <w:sz w:val="24"/>
          <w:szCs w:val="24"/>
        </w:rPr>
        <w:t>i</w:t>
      </w:r>
      <w:r w:rsidRPr="00990E57">
        <w:rPr>
          <w:sz w:val="24"/>
          <w:szCs w:val="24"/>
        </w:rPr>
        <w:t xml:space="preserve"> vismaz 20 </w:t>
      </w:r>
      <w:r>
        <w:rPr>
          <w:sz w:val="24"/>
          <w:szCs w:val="24"/>
        </w:rPr>
        <w:t>vīrieši</w:t>
      </w:r>
      <w:r w:rsidRPr="00990E57">
        <w:rPr>
          <w:sz w:val="24"/>
          <w:szCs w:val="24"/>
        </w:rPr>
        <w:t xml:space="preserve"> vecuma grupā</w:t>
      </w:r>
      <w:r>
        <w:rPr>
          <w:sz w:val="24"/>
          <w:szCs w:val="24"/>
        </w:rPr>
        <w:t xml:space="preserve"> no 50 līdz 75 gadiem, </w:t>
      </w:r>
      <w:r w:rsidRPr="00A86749">
        <w:rPr>
          <w:sz w:val="24"/>
          <w:szCs w:val="24"/>
        </w:rPr>
        <w:t xml:space="preserve">DIENESTS aprēķina </w:t>
      </w:r>
      <w:r w:rsidR="001F4410" w:rsidRPr="00990E57">
        <w:rPr>
          <w:sz w:val="24"/>
          <w:szCs w:val="24"/>
        </w:rPr>
        <w:t>izmaksājamo summu par sasniegtajiem prostatas vēža skrīninga atsaucības rādītājiem</w:t>
      </w:r>
      <w:r w:rsidR="00865D98">
        <w:rPr>
          <w:sz w:val="24"/>
          <w:szCs w:val="24"/>
        </w:rPr>
        <w:t>,</w:t>
      </w:r>
      <w:r w:rsidR="001F4410" w:rsidRPr="00990E57">
        <w:rPr>
          <w:sz w:val="24"/>
          <w:szCs w:val="24"/>
        </w:rPr>
        <w:t xml:space="preserve"> ņemot vērā: </w:t>
      </w:r>
    </w:p>
    <w:p w14:paraId="625DDF40" w14:textId="5E6F614D" w:rsidR="00174B55" w:rsidRPr="00990E57" w:rsidRDefault="00174B55" w:rsidP="00174B55">
      <w:pPr>
        <w:pStyle w:val="ListParagraph"/>
        <w:numPr>
          <w:ilvl w:val="1"/>
          <w:numId w:val="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</w:t>
      </w:r>
      <w:r w:rsidRPr="00990E57">
        <w:rPr>
          <w:iCs/>
          <w:sz w:val="24"/>
          <w:szCs w:val="24"/>
        </w:rPr>
        <w:t xml:space="preserve">ērķa grupu, kas </w:t>
      </w:r>
      <w:r w:rsidRPr="00990E57">
        <w:rPr>
          <w:sz w:val="24"/>
          <w:szCs w:val="24"/>
        </w:rPr>
        <w:t>ir IZPILDĪTĀJA praksē reģistrēto vīriešu skaits vecum</w:t>
      </w:r>
      <w:r>
        <w:rPr>
          <w:sz w:val="24"/>
          <w:szCs w:val="24"/>
        </w:rPr>
        <w:t xml:space="preserve">ā </w:t>
      </w:r>
      <w:r w:rsidRPr="00990E57">
        <w:rPr>
          <w:sz w:val="24"/>
          <w:szCs w:val="24"/>
        </w:rPr>
        <w:t xml:space="preserve"> no 50 -</w:t>
      </w:r>
      <w:r>
        <w:rPr>
          <w:sz w:val="24"/>
          <w:szCs w:val="24"/>
        </w:rPr>
        <w:t xml:space="preserve"> </w:t>
      </w:r>
      <w:r w:rsidRPr="00990E57">
        <w:rPr>
          <w:sz w:val="24"/>
          <w:szCs w:val="24"/>
        </w:rPr>
        <w:t>75 gadiem uz vērtējam</w:t>
      </w:r>
      <w:r>
        <w:rPr>
          <w:sz w:val="24"/>
          <w:szCs w:val="24"/>
        </w:rPr>
        <w:t>ā</w:t>
      </w:r>
      <w:r w:rsidRPr="00990E57">
        <w:rPr>
          <w:sz w:val="24"/>
          <w:szCs w:val="24"/>
        </w:rPr>
        <w:t xml:space="preserve"> perioda </w:t>
      </w:r>
      <w:r>
        <w:rPr>
          <w:sz w:val="24"/>
          <w:szCs w:val="24"/>
        </w:rPr>
        <w:t>(</w:t>
      </w:r>
      <w:r>
        <w:rPr>
          <w:iCs/>
          <w:sz w:val="24"/>
          <w:szCs w:val="24"/>
        </w:rPr>
        <w:t>iepriekšējo divu gadu period</w:t>
      </w:r>
      <w:r w:rsidR="00970EBF">
        <w:rPr>
          <w:iCs/>
          <w:sz w:val="24"/>
          <w:szCs w:val="24"/>
        </w:rPr>
        <w:t>s</w:t>
      </w:r>
      <w:r>
        <w:rPr>
          <w:iCs/>
          <w:sz w:val="24"/>
          <w:szCs w:val="24"/>
        </w:rPr>
        <w:t xml:space="preserve"> </w:t>
      </w:r>
      <w:r w:rsidRPr="003D4305">
        <w:rPr>
          <w:iCs/>
          <w:sz w:val="24"/>
          <w:szCs w:val="24"/>
        </w:rPr>
        <w:t>no 1.jūlija līdz 30.jūnijam</w:t>
      </w:r>
      <w:r>
        <w:rPr>
          <w:iCs/>
          <w:sz w:val="24"/>
          <w:szCs w:val="24"/>
        </w:rPr>
        <w:t xml:space="preserve">) </w:t>
      </w:r>
      <w:r w:rsidRPr="00990E57">
        <w:rPr>
          <w:sz w:val="24"/>
          <w:szCs w:val="24"/>
        </w:rPr>
        <w:t>pēdējo dienu</w:t>
      </w:r>
      <w:r>
        <w:rPr>
          <w:rStyle w:val="FootnoteReference"/>
          <w:sz w:val="24"/>
          <w:szCs w:val="24"/>
        </w:rPr>
        <w:footnoteReference w:id="3"/>
      </w:r>
      <w:r>
        <w:rPr>
          <w:sz w:val="24"/>
          <w:szCs w:val="24"/>
        </w:rPr>
        <w:t>.</w:t>
      </w:r>
      <w:r w:rsidRPr="00B506FD">
        <w:t xml:space="preserve"> </w:t>
      </w:r>
      <w:r w:rsidRPr="00B506FD">
        <w:rPr>
          <w:sz w:val="24"/>
          <w:szCs w:val="24"/>
        </w:rPr>
        <w:t>Aprēķinā netiek ņemti vērā pacienti, kura reģistrācija ir bloķēta</w:t>
      </w:r>
      <w:r>
        <w:rPr>
          <w:sz w:val="24"/>
          <w:szCs w:val="24"/>
        </w:rPr>
        <w:t>;</w:t>
      </w:r>
    </w:p>
    <w:p w14:paraId="144FD2D0" w14:textId="3581510A" w:rsidR="001F4410" w:rsidRPr="00651C51" w:rsidRDefault="003D4305" w:rsidP="00990E57">
      <w:pPr>
        <w:pStyle w:val="ListParagraph"/>
        <w:numPr>
          <w:ilvl w:val="1"/>
          <w:numId w:val="1"/>
        </w:numPr>
        <w:jc w:val="both"/>
        <w:rPr>
          <w:iCs/>
          <w:sz w:val="24"/>
          <w:szCs w:val="24"/>
        </w:rPr>
      </w:pPr>
      <w:r w:rsidRPr="003D4305">
        <w:rPr>
          <w:iCs/>
          <w:sz w:val="24"/>
          <w:szCs w:val="24"/>
        </w:rPr>
        <w:t>pacientiem</w:t>
      </w:r>
      <w:r>
        <w:rPr>
          <w:iCs/>
          <w:sz w:val="24"/>
          <w:szCs w:val="24"/>
        </w:rPr>
        <w:t xml:space="preserve"> </w:t>
      </w:r>
      <w:r w:rsidR="00A86749">
        <w:rPr>
          <w:iCs/>
          <w:sz w:val="24"/>
          <w:szCs w:val="24"/>
        </w:rPr>
        <w:t>v</w:t>
      </w:r>
      <w:r w:rsidR="001F4410" w:rsidRPr="00990E57">
        <w:rPr>
          <w:iCs/>
          <w:sz w:val="24"/>
          <w:szCs w:val="24"/>
        </w:rPr>
        <w:t xml:space="preserve">eikto </w:t>
      </w:r>
      <w:r w:rsidRPr="003D4305">
        <w:rPr>
          <w:iCs/>
          <w:sz w:val="24"/>
          <w:szCs w:val="24"/>
        </w:rPr>
        <w:t xml:space="preserve">prostatas vēža skrīninga </w:t>
      </w:r>
      <w:r w:rsidR="001F4410" w:rsidRPr="00990E57">
        <w:rPr>
          <w:iCs/>
          <w:sz w:val="24"/>
          <w:szCs w:val="24"/>
        </w:rPr>
        <w:t>izmeklējumu skait</w:t>
      </w:r>
      <w:r w:rsidR="00F05AB1">
        <w:rPr>
          <w:iCs/>
          <w:sz w:val="24"/>
          <w:szCs w:val="24"/>
        </w:rPr>
        <w:t>u</w:t>
      </w:r>
      <w:r w:rsidR="001F4410" w:rsidRPr="00990E57">
        <w:rPr>
          <w:iCs/>
          <w:sz w:val="24"/>
          <w:szCs w:val="24"/>
        </w:rPr>
        <w:t>, ko iegūst</w:t>
      </w:r>
      <w:r w:rsidR="00805286">
        <w:rPr>
          <w:iCs/>
          <w:sz w:val="24"/>
          <w:szCs w:val="24"/>
        </w:rPr>
        <w:t>,</w:t>
      </w:r>
      <w:r w:rsidR="001F4410" w:rsidRPr="00990E57">
        <w:rPr>
          <w:iCs/>
          <w:sz w:val="24"/>
          <w:szCs w:val="24"/>
        </w:rPr>
        <w:t xml:space="preserve"> atlasot datus uz </w:t>
      </w:r>
      <w:r w:rsidR="003F0DF8" w:rsidRPr="00990E57">
        <w:rPr>
          <w:iCs/>
          <w:sz w:val="24"/>
          <w:szCs w:val="24"/>
        </w:rPr>
        <w:t>31.augustu</w:t>
      </w:r>
      <w:r w:rsidR="001F4410" w:rsidRPr="00990E57">
        <w:rPr>
          <w:iCs/>
          <w:sz w:val="24"/>
          <w:szCs w:val="24"/>
        </w:rPr>
        <w:t xml:space="preserve"> par </w:t>
      </w:r>
      <w:r w:rsidR="00F05AB1" w:rsidRPr="00F05AB1">
        <w:rPr>
          <w:iCs/>
          <w:sz w:val="24"/>
          <w:szCs w:val="24"/>
        </w:rPr>
        <w:t>IZPILDĪTĀJA praksē reģistrēt</w:t>
      </w:r>
      <w:r w:rsidR="00F05AB1">
        <w:rPr>
          <w:iCs/>
          <w:sz w:val="24"/>
          <w:szCs w:val="24"/>
        </w:rPr>
        <w:t>aj</w:t>
      </w:r>
      <w:r w:rsidR="00F05AB1" w:rsidRPr="00F05AB1">
        <w:rPr>
          <w:iCs/>
          <w:sz w:val="24"/>
          <w:szCs w:val="24"/>
        </w:rPr>
        <w:t xml:space="preserve">iem pacientiem </w:t>
      </w:r>
      <w:r w:rsidR="001F4410" w:rsidRPr="00990E57">
        <w:rPr>
          <w:iCs/>
          <w:sz w:val="24"/>
          <w:szCs w:val="24"/>
        </w:rPr>
        <w:t xml:space="preserve">veiktajām manipulācijām </w:t>
      </w:r>
      <w:r w:rsidR="001F4410" w:rsidRPr="00213BFC">
        <w:rPr>
          <w:i/>
          <w:sz w:val="24"/>
          <w:szCs w:val="24"/>
        </w:rPr>
        <w:t>46143 - PSA – prostatas specifiskais antigēns. Izmeklējuma rezultāts – norma</w:t>
      </w:r>
      <w:r w:rsidR="00213BFC">
        <w:rPr>
          <w:i/>
          <w:sz w:val="24"/>
          <w:szCs w:val="24"/>
        </w:rPr>
        <w:t xml:space="preserve"> </w:t>
      </w:r>
      <w:r w:rsidR="00213BFC" w:rsidRPr="00213BFC">
        <w:rPr>
          <w:iCs/>
          <w:sz w:val="24"/>
          <w:szCs w:val="24"/>
        </w:rPr>
        <w:t>u</w:t>
      </w:r>
      <w:r w:rsidR="00213BFC">
        <w:rPr>
          <w:iCs/>
          <w:sz w:val="24"/>
          <w:szCs w:val="24"/>
        </w:rPr>
        <w:t>n</w:t>
      </w:r>
      <w:r w:rsidR="001F4410" w:rsidRPr="00213BFC">
        <w:rPr>
          <w:i/>
          <w:sz w:val="24"/>
          <w:szCs w:val="24"/>
        </w:rPr>
        <w:t xml:space="preserve"> 46144 - PSA – prostatas specifiskais antigēns. Izmeklējuma rezultāts – paaugstināts</w:t>
      </w:r>
      <w:r w:rsidR="001F4410" w:rsidRPr="00990E57">
        <w:rPr>
          <w:iCs/>
          <w:sz w:val="24"/>
          <w:szCs w:val="24"/>
        </w:rPr>
        <w:t xml:space="preserve">, </w:t>
      </w:r>
      <w:r w:rsidR="00F32244">
        <w:rPr>
          <w:sz w:val="24"/>
          <w:szCs w:val="24"/>
        </w:rPr>
        <w:t>izņemot</w:t>
      </w:r>
      <w:r w:rsidR="00D521D3" w:rsidRPr="00990E57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manipulācijas</w:t>
      </w:r>
      <w:r w:rsidR="00F32244">
        <w:rPr>
          <w:sz w:val="24"/>
          <w:szCs w:val="24"/>
        </w:rPr>
        <w:t>, kur</w:t>
      </w:r>
      <w:r>
        <w:rPr>
          <w:sz w:val="24"/>
          <w:szCs w:val="24"/>
        </w:rPr>
        <w:t xml:space="preserve">as veiktas pacientiem ar </w:t>
      </w:r>
      <w:r w:rsidR="00251DF2" w:rsidRPr="00990E57">
        <w:rPr>
          <w:sz w:val="24"/>
          <w:szCs w:val="24"/>
        </w:rPr>
        <w:t>pamata</w:t>
      </w:r>
      <w:r w:rsidR="0070232F" w:rsidRPr="00990E57">
        <w:rPr>
          <w:sz w:val="24"/>
          <w:szCs w:val="24"/>
        </w:rPr>
        <w:t xml:space="preserve"> diagnoz</w:t>
      </w:r>
      <w:r>
        <w:rPr>
          <w:sz w:val="24"/>
          <w:szCs w:val="24"/>
        </w:rPr>
        <w:t>i</w:t>
      </w:r>
      <w:r w:rsidR="00251DF2" w:rsidRPr="00990E57">
        <w:rPr>
          <w:sz w:val="24"/>
          <w:szCs w:val="24"/>
        </w:rPr>
        <w:t xml:space="preserve"> </w:t>
      </w:r>
      <w:r>
        <w:rPr>
          <w:sz w:val="24"/>
          <w:szCs w:val="24"/>
        </w:rPr>
        <w:t>C61 vai Z03.161(atbilstoši</w:t>
      </w:r>
      <w:r w:rsidRPr="00990E57">
        <w:rPr>
          <w:sz w:val="24"/>
          <w:szCs w:val="24"/>
        </w:rPr>
        <w:t xml:space="preserve"> SSK-10</w:t>
      </w:r>
      <w:r>
        <w:rPr>
          <w:sz w:val="24"/>
          <w:szCs w:val="24"/>
        </w:rPr>
        <w:t xml:space="preserve"> klasifikācijai)</w:t>
      </w:r>
      <w:r>
        <w:rPr>
          <w:rStyle w:val="FootnoteReference"/>
          <w:sz w:val="24"/>
          <w:szCs w:val="24"/>
        </w:rPr>
        <w:footnoteReference w:id="4"/>
      </w:r>
      <w:r>
        <w:rPr>
          <w:sz w:val="24"/>
          <w:szCs w:val="24"/>
        </w:rPr>
        <w:t xml:space="preserve">; </w:t>
      </w:r>
    </w:p>
    <w:p w14:paraId="53C1CC6F" w14:textId="75E05B7C" w:rsidR="00114BEE" w:rsidRPr="00114BEE" w:rsidRDefault="00D62B94" w:rsidP="00990E57">
      <w:pPr>
        <w:pStyle w:val="ListParagraph"/>
        <w:numPr>
          <w:ilvl w:val="1"/>
          <w:numId w:val="1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a</w:t>
      </w:r>
      <w:r w:rsidR="00723A35" w:rsidRPr="00990E57">
        <w:rPr>
          <w:sz w:val="24"/>
          <w:szCs w:val="24"/>
        </w:rPr>
        <w:t>tsaucības rādītāj</w:t>
      </w:r>
      <w:r w:rsidR="00114BEE">
        <w:rPr>
          <w:sz w:val="24"/>
          <w:szCs w:val="24"/>
        </w:rPr>
        <w:t>u</w:t>
      </w:r>
      <w:r w:rsidR="00723A35" w:rsidRPr="00990E57">
        <w:rPr>
          <w:sz w:val="24"/>
          <w:szCs w:val="24"/>
        </w:rPr>
        <w:t xml:space="preserve"> (%), ko iegūst </w:t>
      </w:r>
      <w:r>
        <w:rPr>
          <w:sz w:val="24"/>
          <w:szCs w:val="24"/>
        </w:rPr>
        <w:t>šī dokumenta 4</w:t>
      </w:r>
      <w:r w:rsidR="001E1CD8" w:rsidRPr="00990E57">
        <w:rPr>
          <w:sz w:val="24"/>
          <w:szCs w:val="24"/>
        </w:rPr>
        <w:t>.</w:t>
      </w:r>
      <w:r w:rsidR="00F05AB1">
        <w:rPr>
          <w:sz w:val="24"/>
          <w:szCs w:val="24"/>
        </w:rPr>
        <w:t>2</w:t>
      </w:r>
      <w:r w:rsidR="001E1CD8" w:rsidRPr="00990E57">
        <w:rPr>
          <w:sz w:val="24"/>
          <w:szCs w:val="24"/>
        </w:rPr>
        <w:t xml:space="preserve">.apakšpunktā </w:t>
      </w:r>
      <w:r w:rsidR="008F2B35">
        <w:rPr>
          <w:sz w:val="24"/>
          <w:szCs w:val="24"/>
        </w:rPr>
        <w:t>norādīto</w:t>
      </w:r>
      <w:r>
        <w:rPr>
          <w:sz w:val="24"/>
          <w:szCs w:val="24"/>
        </w:rPr>
        <w:t xml:space="preserve"> </w:t>
      </w:r>
      <w:r w:rsidR="001E1CD8" w:rsidRPr="00990E57">
        <w:rPr>
          <w:sz w:val="24"/>
          <w:szCs w:val="24"/>
        </w:rPr>
        <w:t xml:space="preserve">manipulāciju skaitu dalot ar </w:t>
      </w:r>
      <w:r>
        <w:rPr>
          <w:sz w:val="24"/>
          <w:szCs w:val="24"/>
        </w:rPr>
        <w:t>šī dokumenta 4</w:t>
      </w:r>
      <w:r w:rsidR="00723A35" w:rsidRPr="00F902FA">
        <w:rPr>
          <w:sz w:val="24"/>
          <w:szCs w:val="24"/>
        </w:rPr>
        <w:t>.</w:t>
      </w:r>
      <w:r w:rsidR="00F05AB1">
        <w:rPr>
          <w:sz w:val="24"/>
          <w:szCs w:val="24"/>
        </w:rPr>
        <w:t>1</w:t>
      </w:r>
      <w:r w:rsidR="00723A35" w:rsidRPr="00F902FA">
        <w:rPr>
          <w:sz w:val="24"/>
          <w:szCs w:val="24"/>
        </w:rPr>
        <w:t xml:space="preserve">.apakšpunktā </w:t>
      </w:r>
      <w:r w:rsidR="008F2B35">
        <w:rPr>
          <w:sz w:val="24"/>
          <w:szCs w:val="24"/>
        </w:rPr>
        <w:t>norādīto</w:t>
      </w:r>
      <w:r>
        <w:rPr>
          <w:sz w:val="24"/>
          <w:szCs w:val="24"/>
        </w:rPr>
        <w:t xml:space="preserve"> </w:t>
      </w:r>
      <w:r w:rsidR="00251DF2" w:rsidRPr="00F902FA">
        <w:rPr>
          <w:sz w:val="24"/>
          <w:szCs w:val="24"/>
        </w:rPr>
        <w:t>mērķa grup</w:t>
      </w:r>
      <w:r w:rsidR="001E1CD8" w:rsidRPr="00990E57">
        <w:rPr>
          <w:sz w:val="24"/>
          <w:szCs w:val="24"/>
        </w:rPr>
        <w:t>u</w:t>
      </w:r>
      <w:r w:rsidR="00114BEE">
        <w:rPr>
          <w:sz w:val="24"/>
          <w:szCs w:val="24"/>
        </w:rPr>
        <w:t>;</w:t>
      </w:r>
    </w:p>
    <w:p w14:paraId="353A1CE9" w14:textId="3B1BD576" w:rsidR="00723A35" w:rsidRPr="00F902FA" w:rsidRDefault="00F05AB1" w:rsidP="00990E57">
      <w:pPr>
        <w:pStyle w:val="ListParagraph"/>
        <w:numPr>
          <w:ilvl w:val="1"/>
          <w:numId w:val="1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atsaucības rādītāja</w:t>
      </w:r>
      <w:r w:rsidR="00250336">
        <w:rPr>
          <w:sz w:val="24"/>
          <w:szCs w:val="24"/>
        </w:rPr>
        <w:t xml:space="preserve"> vērību</w:t>
      </w:r>
      <w:r w:rsidR="00114BEE">
        <w:rPr>
          <w:sz w:val="24"/>
          <w:szCs w:val="24"/>
        </w:rPr>
        <w:t>, ko</w:t>
      </w:r>
      <w:r>
        <w:rPr>
          <w:sz w:val="24"/>
          <w:szCs w:val="24"/>
        </w:rPr>
        <w:t xml:space="preserve"> </w:t>
      </w:r>
      <w:r w:rsidR="00250336">
        <w:rPr>
          <w:sz w:val="24"/>
          <w:szCs w:val="24"/>
        </w:rPr>
        <w:t>nosak</w:t>
      </w:r>
      <w:r w:rsidR="00114BEE">
        <w:rPr>
          <w:sz w:val="24"/>
          <w:szCs w:val="24"/>
        </w:rPr>
        <w:t>a</w:t>
      </w:r>
      <w:r w:rsidR="00250336">
        <w:rPr>
          <w:sz w:val="24"/>
          <w:szCs w:val="24"/>
        </w:rPr>
        <w:t xml:space="preserve"> šādā kārtībā:</w:t>
      </w:r>
    </w:p>
    <w:p w14:paraId="00021F04" w14:textId="54491317" w:rsidR="00250336" w:rsidRPr="00990E57" w:rsidRDefault="001F4410" w:rsidP="00EA267C">
      <w:pPr>
        <w:pStyle w:val="ListParagraph"/>
        <w:numPr>
          <w:ilvl w:val="2"/>
          <w:numId w:val="1"/>
        </w:numPr>
        <w:tabs>
          <w:tab w:val="clear" w:pos="1440"/>
        </w:tabs>
        <w:ind w:left="993" w:hanging="567"/>
        <w:jc w:val="both"/>
        <w:rPr>
          <w:iCs/>
          <w:sz w:val="24"/>
          <w:szCs w:val="24"/>
        </w:rPr>
      </w:pPr>
      <w:r w:rsidRPr="00990E57">
        <w:rPr>
          <w:iCs/>
          <w:sz w:val="24"/>
          <w:szCs w:val="24"/>
        </w:rPr>
        <w:t xml:space="preserve">ja </w:t>
      </w:r>
      <w:r w:rsidR="00D62B94">
        <w:rPr>
          <w:iCs/>
          <w:sz w:val="24"/>
          <w:szCs w:val="24"/>
        </w:rPr>
        <w:t>s</w:t>
      </w:r>
      <w:r w:rsidR="00D62B94" w:rsidRPr="00990E57">
        <w:rPr>
          <w:iCs/>
          <w:sz w:val="24"/>
          <w:szCs w:val="24"/>
        </w:rPr>
        <w:t>asniegt</w:t>
      </w:r>
      <w:r w:rsidR="00D62B94">
        <w:rPr>
          <w:iCs/>
          <w:sz w:val="24"/>
          <w:szCs w:val="24"/>
        </w:rPr>
        <w:t>ais</w:t>
      </w:r>
      <w:r w:rsidR="00D62B94" w:rsidRPr="00990E57">
        <w:rPr>
          <w:iCs/>
          <w:sz w:val="24"/>
          <w:szCs w:val="24"/>
        </w:rPr>
        <w:t xml:space="preserve"> atsaucības rādītāj</w:t>
      </w:r>
      <w:r w:rsidR="00D62B94">
        <w:rPr>
          <w:iCs/>
          <w:sz w:val="24"/>
          <w:szCs w:val="24"/>
        </w:rPr>
        <w:t>s</w:t>
      </w:r>
      <w:r w:rsidR="00D62B94" w:rsidRPr="00990E57">
        <w:rPr>
          <w:iCs/>
          <w:sz w:val="24"/>
          <w:szCs w:val="24"/>
        </w:rPr>
        <w:t xml:space="preserve"> (%)</w:t>
      </w:r>
      <w:r w:rsidRPr="00990E57">
        <w:rPr>
          <w:iCs/>
          <w:sz w:val="24"/>
          <w:szCs w:val="24"/>
        </w:rPr>
        <w:t xml:space="preserve"> ir </w:t>
      </w:r>
      <w:r w:rsidR="0070232F" w:rsidRPr="00990E57">
        <w:rPr>
          <w:iCs/>
          <w:sz w:val="24"/>
          <w:szCs w:val="24"/>
        </w:rPr>
        <w:t>60</w:t>
      </w:r>
      <w:r w:rsidRPr="00990E57">
        <w:rPr>
          <w:iCs/>
          <w:sz w:val="24"/>
          <w:szCs w:val="24"/>
        </w:rPr>
        <w:t xml:space="preserve">% - </w:t>
      </w:r>
      <w:r w:rsidR="0070232F" w:rsidRPr="00990E57">
        <w:rPr>
          <w:iCs/>
          <w:sz w:val="24"/>
          <w:szCs w:val="24"/>
        </w:rPr>
        <w:t>7</w:t>
      </w:r>
      <w:r w:rsidRPr="00990E57">
        <w:rPr>
          <w:iCs/>
          <w:sz w:val="24"/>
          <w:szCs w:val="24"/>
        </w:rPr>
        <w:t xml:space="preserve">0% robežās, summa izmaksai ir 10 EUR </w:t>
      </w:r>
      <w:r w:rsidR="00F13353">
        <w:rPr>
          <w:iCs/>
          <w:sz w:val="24"/>
          <w:szCs w:val="24"/>
        </w:rPr>
        <w:t xml:space="preserve">par </w:t>
      </w:r>
      <w:r w:rsidR="00F13353" w:rsidRPr="00A2404C">
        <w:rPr>
          <w:iCs/>
          <w:sz w:val="24"/>
          <w:szCs w:val="24"/>
        </w:rPr>
        <w:t xml:space="preserve">katru </w:t>
      </w:r>
      <w:r w:rsidR="00D62B94">
        <w:rPr>
          <w:iCs/>
          <w:sz w:val="24"/>
          <w:szCs w:val="24"/>
        </w:rPr>
        <w:t>šī dokumenta 4</w:t>
      </w:r>
      <w:r w:rsidR="00F13353" w:rsidRPr="00A2404C">
        <w:rPr>
          <w:iCs/>
          <w:sz w:val="24"/>
          <w:szCs w:val="24"/>
        </w:rPr>
        <w:t>.</w:t>
      </w:r>
      <w:r w:rsidR="00F05AB1">
        <w:rPr>
          <w:iCs/>
          <w:sz w:val="24"/>
          <w:szCs w:val="24"/>
        </w:rPr>
        <w:t>2</w:t>
      </w:r>
      <w:r w:rsidR="00F13353" w:rsidRPr="00A2404C">
        <w:rPr>
          <w:iCs/>
          <w:sz w:val="24"/>
          <w:szCs w:val="24"/>
        </w:rPr>
        <w:t xml:space="preserve">. apakšpunktā norādīto izmeklējumu, kas veikts </w:t>
      </w:r>
      <w:r w:rsidR="00D62B94">
        <w:rPr>
          <w:iCs/>
          <w:sz w:val="24"/>
          <w:szCs w:val="24"/>
        </w:rPr>
        <w:t xml:space="preserve">periodā </w:t>
      </w:r>
      <w:r w:rsidR="00F13353">
        <w:rPr>
          <w:iCs/>
          <w:sz w:val="24"/>
          <w:szCs w:val="24"/>
        </w:rPr>
        <w:t xml:space="preserve">no iepriekšējā gada </w:t>
      </w:r>
      <w:r w:rsidR="00F13353" w:rsidRPr="00990E57">
        <w:rPr>
          <w:iCs/>
          <w:sz w:val="24"/>
          <w:szCs w:val="24"/>
        </w:rPr>
        <w:t>1.jūlija līdz tekošā gada 30.jūnijam</w:t>
      </w:r>
      <w:r w:rsidR="00F13353">
        <w:rPr>
          <w:iCs/>
          <w:sz w:val="24"/>
          <w:szCs w:val="24"/>
        </w:rPr>
        <w:t>;</w:t>
      </w:r>
    </w:p>
    <w:p w14:paraId="571C26A1" w14:textId="54053C4C" w:rsidR="00764F1C" w:rsidRPr="00EA267C" w:rsidRDefault="001F4410" w:rsidP="00EA267C">
      <w:pPr>
        <w:pStyle w:val="ListParagraph"/>
        <w:numPr>
          <w:ilvl w:val="2"/>
          <w:numId w:val="1"/>
        </w:numPr>
        <w:tabs>
          <w:tab w:val="clear" w:pos="1440"/>
        </w:tabs>
        <w:ind w:left="993" w:hanging="567"/>
        <w:jc w:val="both"/>
        <w:rPr>
          <w:iCs/>
          <w:sz w:val="24"/>
          <w:szCs w:val="24"/>
        </w:rPr>
      </w:pPr>
      <w:r w:rsidRPr="00EA267C">
        <w:rPr>
          <w:iCs/>
          <w:sz w:val="24"/>
          <w:szCs w:val="24"/>
        </w:rPr>
        <w:t xml:space="preserve">ja </w:t>
      </w:r>
      <w:r w:rsidR="00D62B94" w:rsidRPr="00EA267C">
        <w:rPr>
          <w:iCs/>
          <w:sz w:val="24"/>
          <w:szCs w:val="24"/>
        </w:rPr>
        <w:t xml:space="preserve">sasniegtais atsaucības rādītājs (%) ir </w:t>
      </w:r>
      <w:r w:rsidR="00AA4ED5" w:rsidRPr="00EA267C">
        <w:rPr>
          <w:iCs/>
          <w:sz w:val="24"/>
          <w:szCs w:val="24"/>
        </w:rPr>
        <w:t>7</w:t>
      </w:r>
      <w:r w:rsidRPr="00EA267C">
        <w:rPr>
          <w:iCs/>
          <w:sz w:val="24"/>
          <w:szCs w:val="24"/>
        </w:rPr>
        <w:t xml:space="preserve">1% un vairāk, summa izmaksai ir 20 EUR </w:t>
      </w:r>
      <w:r w:rsidR="00F13353" w:rsidRPr="00EA267C">
        <w:rPr>
          <w:iCs/>
          <w:sz w:val="24"/>
          <w:szCs w:val="24"/>
        </w:rPr>
        <w:t xml:space="preserve">par katru </w:t>
      </w:r>
      <w:r w:rsidR="00D62B94" w:rsidRPr="00EA267C">
        <w:rPr>
          <w:iCs/>
          <w:sz w:val="24"/>
          <w:szCs w:val="24"/>
        </w:rPr>
        <w:t>šī dokumenta 4</w:t>
      </w:r>
      <w:r w:rsidR="00F13353" w:rsidRPr="00EA267C">
        <w:rPr>
          <w:iCs/>
          <w:sz w:val="24"/>
          <w:szCs w:val="24"/>
        </w:rPr>
        <w:t>.</w:t>
      </w:r>
      <w:r w:rsidR="00F05AB1">
        <w:rPr>
          <w:iCs/>
          <w:sz w:val="24"/>
          <w:szCs w:val="24"/>
        </w:rPr>
        <w:t>2</w:t>
      </w:r>
      <w:r w:rsidR="00F13353" w:rsidRPr="00EA267C">
        <w:rPr>
          <w:iCs/>
          <w:sz w:val="24"/>
          <w:szCs w:val="24"/>
        </w:rPr>
        <w:t>.apakšpunktā norādīto izmeklējumu, kas veikts no iepriekšējā gada 1.jūlija līdz tekošā gada 30.jūnijam</w:t>
      </w:r>
      <w:r w:rsidR="00544989" w:rsidRPr="00EA267C">
        <w:rPr>
          <w:iCs/>
          <w:sz w:val="24"/>
          <w:szCs w:val="24"/>
        </w:rPr>
        <w:t>.</w:t>
      </w:r>
    </w:p>
    <w:p w14:paraId="208CBDB5" w14:textId="1B277776" w:rsidR="009221F6" w:rsidRPr="00990E57" w:rsidRDefault="009221F6" w:rsidP="00990E57">
      <w:pPr>
        <w:jc w:val="both"/>
        <w:rPr>
          <w:sz w:val="24"/>
          <w:szCs w:val="24"/>
        </w:rPr>
      </w:pPr>
    </w:p>
    <w:p w14:paraId="1870CE24" w14:textId="3AF0939E" w:rsidR="00DF1A45" w:rsidRPr="00990E57" w:rsidRDefault="00863714" w:rsidP="00990E5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990E57">
        <w:rPr>
          <w:sz w:val="24"/>
          <w:szCs w:val="24"/>
        </w:rPr>
        <w:t>a IZPILDĪTĀJA praksē ir reģistrētas vismaz 20 sievietes vecuma grupā no 25 līdz 70 gadiem</w:t>
      </w:r>
      <w:r>
        <w:rPr>
          <w:sz w:val="24"/>
          <w:szCs w:val="24"/>
        </w:rPr>
        <w:t xml:space="preserve">, DIENESTS aprēķina </w:t>
      </w:r>
      <w:r w:rsidR="00DF1A45" w:rsidRPr="00990E57">
        <w:rPr>
          <w:sz w:val="24"/>
          <w:szCs w:val="24"/>
        </w:rPr>
        <w:t>izmaksājamo summu par sasniegtajiem dzemdes ka</w:t>
      </w:r>
      <w:r w:rsidR="00FA20B2">
        <w:rPr>
          <w:sz w:val="24"/>
          <w:szCs w:val="24"/>
        </w:rPr>
        <w:t>k</w:t>
      </w:r>
      <w:r w:rsidR="00DF1A45" w:rsidRPr="00990E57">
        <w:rPr>
          <w:sz w:val="24"/>
          <w:szCs w:val="24"/>
        </w:rPr>
        <w:t>la vēža skrīninga atsaucības rādītājiem</w:t>
      </w:r>
      <w:r w:rsidR="002B3DE3" w:rsidRPr="00990E57">
        <w:rPr>
          <w:sz w:val="24"/>
          <w:szCs w:val="24"/>
        </w:rPr>
        <w:t xml:space="preserve">, </w:t>
      </w:r>
      <w:r w:rsidR="00DF1A45" w:rsidRPr="00990E57">
        <w:rPr>
          <w:sz w:val="24"/>
          <w:szCs w:val="24"/>
        </w:rPr>
        <w:t xml:space="preserve">ņemot vērā: </w:t>
      </w:r>
    </w:p>
    <w:p w14:paraId="1694BD91" w14:textId="11FAC51B" w:rsidR="00F05AB1" w:rsidRPr="00990E57" w:rsidRDefault="00F05AB1" w:rsidP="00F05AB1">
      <w:pPr>
        <w:pStyle w:val="ListParagraph"/>
        <w:numPr>
          <w:ilvl w:val="1"/>
          <w:numId w:val="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</w:t>
      </w:r>
      <w:r w:rsidRPr="00990E57">
        <w:rPr>
          <w:iCs/>
          <w:sz w:val="24"/>
          <w:szCs w:val="24"/>
        </w:rPr>
        <w:t xml:space="preserve">ērķa grupu, kas </w:t>
      </w:r>
      <w:r w:rsidRPr="00990E57">
        <w:rPr>
          <w:sz w:val="24"/>
          <w:szCs w:val="24"/>
        </w:rPr>
        <w:t>ir</w:t>
      </w:r>
      <w:r>
        <w:rPr>
          <w:sz w:val="24"/>
          <w:szCs w:val="24"/>
        </w:rPr>
        <w:t xml:space="preserve"> </w:t>
      </w:r>
      <w:r w:rsidRPr="00990E57">
        <w:rPr>
          <w:sz w:val="24"/>
          <w:szCs w:val="24"/>
        </w:rPr>
        <w:t>IZPILDĪTĀJA praksē uz vērtēj</w:t>
      </w:r>
      <w:r>
        <w:rPr>
          <w:sz w:val="24"/>
          <w:szCs w:val="24"/>
        </w:rPr>
        <w:t>a</w:t>
      </w:r>
      <w:r w:rsidRPr="00990E57">
        <w:rPr>
          <w:sz w:val="24"/>
          <w:szCs w:val="24"/>
        </w:rPr>
        <w:t>m</w:t>
      </w:r>
      <w:r>
        <w:rPr>
          <w:sz w:val="24"/>
          <w:szCs w:val="24"/>
        </w:rPr>
        <w:t>ā</w:t>
      </w:r>
      <w:r w:rsidRPr="00990E57">
        <w:rPr>
          <w:sz w:val="24"/>
          <w:szCs w:val="24"/>
        </w:rPr>
        <w:t xml:space="preserve"> perioda </w:t>
      </w:r>
      <w:r w:rsidR="008F2B35">
        <w:rPr>
          <w:iCs/>
          <w:sz w:val="24"/>
          <w:szCs w:val="24"/>
        </w:rPr>
        <w:t>(</w:t>
      </w:r>
      <w:r w:rsidR="008F2B35" w:rsidRPr="008F2B35">
        <w:rPr>
          <w:iCs/>
          <w:sz w:val="24"/>
          <w:szCs w:val="24"/>
        </w:rPr>
        <w:t>period</w:t>
      </w:r>
      <w:r w:rsidR="008F2B35">
        <w:rPr>
          <w:iCs/>
          <w:sz w:val="24"/>
          <w:szCs w:val="24"/>
        </w:rPr>
        <w:t>s</w:t>
      </w:r>
      <w:r w:rsidR="008F2B35" w:rsidRPr="008F2B35">
        <w:rPr>
          <w:iCs/>
          <w:sz w:val="24"/>
          <w:szCs w:val="24"/>
        </w:rPr>
        <w:t xml:space="preserve"> no 1.janvāra līdz 30.jūnijam </w:t>
      </w:r>
      <w:r w:rsidR="00970EBF">
        <w:rPr>
          <w:iCs/>
          <w:sz w:val="24"/>
          <w:szCs w:val="24"/>
        </w:rPr>
        <w:t xml:space="preserve">vai </w:t>
      </w:r>
      <w:r w:rsidR="008F2B35">
        <w:rPr>
          <w:iCs/>
          <w:sz w:val="24"/>
          <w:szCs w:val="24"/>
        </w:rPr>
        <w:t>periods no 1.jūlija līdz 31.decembrim)</w:t>
      </w:r>
      <w:r w:rsidR="00970EBF">
        <w:rPr>
          <w:iCs/>
          <w:sz w:val="24"/>
          <w:szCs w:val="24"/>
        </w:rPr>
        <w:t xml:space="preserve"> </w:t>
      </w:r>
      <w:r w:rsidRPr="00990E57">
        <w:rPr>
          <w:sz w:val="24"/>
          <w:szCs w:val="24"/>
        </w:rPr>
        <w:t>pēdējo dienu reģistrēt</w:t>
      </w:r>
      <w:r>
        <w:rPr>
          <w:sz w:val="24"/>
          <w:szCs w:val="24"/>
        </w:rPr>
        <w:t>o</w:t>
      </w:r>
      <w:r w:rsidRPr="00990E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Pr="00990E57">
        <w:rPr>
          <w:sz w:val="24"/>
          <w:szCs w:val="24"/>
        </w:rPr>
        <w:t>pacien</w:t>
      </w:r>
      <w:r>
        <w:rPr>
          <w:sz w:val="24"/>
          <w:szCs w:val="24"/>
        </w:rPr>
        <w:t>šu skaits, kurām</w:t>
      </w:r>
      <w:r w:rsidRPr="00990E57">
        <w:rPr>
          <w:sz w:val="24"/>
          <w:szCs w:val="24"/>
        </w:rPr>
        <w:t xml:space="preserve"> </w:t>
      </w:r>
      <w:r w:rsidR="00114BEE">
        <w:rPr>
          <w:iCs/>
          <w:sz w:val="24"/>
          <w:szCs w:val="24"/>
        </w:rPr>
        <w:t>vērtējamā periodā</w:t>
      </w:r>
      <w:r w:rsidR="00114B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ir </w:t>
      </w:r>
      <w:r w:rsidRPr="00990E57">
        <w:rPr>
          <w:sz w:val="24"/>
          <w:szCs w:val="24"/>
        </w:rPr>
        <w:t>izsūtīt</w:t>
      </w:r>
      <w:r>
        <w:rPr>
          <w:sz w:val="24"/>
          <w:szCs w:val="24"/>
        </w:rPr>
        <w:t>as</w:t>
      </w:r>
      <w:r w:rsidRPr="00990E57">
        <w:rPr>
          <w:sz w:val="24"/>
          <w:szCs w:val="24"/>
        </w:rPr>
        <w:t xml:space="preserve"> dzemdes kakla vēža skrīninga uzaicinājuma vēstu</w:t>
      </w:r>
      <w:r>
        <w:rPr>
          <w:sz w:val="24"/>
          <w:szCs w:val="24"/>
        </w:rPr>
        <w:t>les</w:t>
      </w:r>
      <w:r>
        <w:rPr>
          <w:rStyle w:val="FootnoteReference"/>
          <w:iCs/>
          <w:sz w:val="24"/>
          <w:szCs w:val="24"/>
        </w:rPr>
        <w:footnoteReference w:id="5"/>
      </w:r>
      <w:r>
        <w:rPr>
          <w:sz w:val="24"/>
          <w:szCs w:val="24"/>
        </w:rPr>
        <w:t>;</w:t>
      </w:r>
    </w:p>
    <w:p w14:paraId="4A79946E" w14:textId="4C66E9FD" w:rsidR="00DF1A45" w:rsidRPr="00990E57" w:rsidRDefault="00AB0288" w:rsidP="00990E57">
      <w:pPr>
        <w:pStyle w:val="ListParagraph"/>
        <w:numPr>
          <w:ilvl w:val="1"/>
          <w:numId w:val="1"/>
        </w:numPr>
        <w:jc w:val="both"/>
        <w:rPr>
          <w:iCs/>
          <w:sz w:val="24"/>
          <w:szCs w:val="24"/>
        </w:rPr>
      </w:pPr>
      <w:r w:rsidRPr="00AB0288">
        <w:rPr>
          <w:iCs/>
          <w:sz w:val="24"/>
          <w:szCs w:val="24"/>
        </w:rPr>
        <w:t xml:space="preserve">IZPILDĪTĀJA praksē reģistrētām </w:t>
      </w:r>
      <w:r w:rsidR="00863714" w:rsidRPr="00990E57">
        <w:rPr>
          <w:iCs/>
          <w:sz w:val="24"/>
          <w:szCs w:val="24"/>
        </w:rPr>
        <w:t>pacient</w:t>
      </w:r>
      <w:r w:rsidR="00863714">
        <w:rPr>
          <w:iCs/>
          <w:sz w:val="24"/>
          <w:szCs w:val="24"/>
        </w:rPr>
        <w:t>ēm v</w:t>
      </w:r>
      <w:r w:rsidR="00DF1A45" w:rsidRPr="00990E57">
        <w:rPr>
          <w:iCs/>
          <w:sz w:val="24"/>
          <w:szCs w:val="24"/>
        </w:rPr>
        <w:t xml:space="preserve">eikto </w:t>
      </w:r>
      <w:r w:rsidR="00990E57" w:rsidRPr="00990E57">
        <w:rPr>
          <w:iCs/>
          <w:sz w:val="24"/>
          <w:szCs w:val="24"/>
        </w:rPr>
        <w:t xml:space="preserve">dzemdes kakla vēža skrīninga </w:t>
      </w:r>
      <w:r w:rsidR="00DF1A45" w:rsidRPr="00990E57">
        <w:rPr>
          <w:iCs/>
          <w:sz w:val="24"/>
          <w:szCs w:val="24"/>
        </w:rPr>
        <w:t>izmeklējumu skaitu, ko iegūst</w:t>
      </w:r>
      <w:r w:rsidR="00865D98">
        <w:rPr>
          <w:iCs/>
          <w:sz w:val="24"/>
          <w:szCs w:val="24"/>
        </w:rPr>
        <w:t>,</w:t>
      </w:r>
      <w:r w:rsidR="00DF1A45" w:rsidRPr="00990E57">
        <w:rPr>
          <w:iCs/>
          <w:sz w:val="24"/>
          <w:szCs w:val="24"/>
        </w:rPr>
        <w:t xml:space="preserve"> atlasot datus uz </w:t>
      </w:r>
      <w:r w:rsidR="00FA20B2" w:rsidRPr="00990E57">
        <w:rPr>
          <w:iCs/>
          <w:sz w:val="24"/>
          <w:szCs w:val="24"/>
        </w:rPr>
        <w:t>tekošā gada</w:t>
      </w:r>
      <w:r w:rsidR="00FA20B2" w:rsidRPr="00F902FA">
        <w:rPr>
          <w:iCs/>
          <w:sz w:val="24"/>
          <w:szCs w:val="24"/>
        </w:rPr>
        <w:t xml:space="preserve"> </w:t>
      </w:r>
      <w:r w:rsidR="00DF1A45" w:rsidRPr="00990E57">
        <w:rPr>
          <w:iCs/>
          <w:sz w:val="24"/>
          <w:szCs w:val="24"/>
        </w:rPr>
        <w:t>31.</w:t>
      </w:r>
      <w:r w:rsidR="00F8399F" w:rsidRPr="00990E57">
        <w:rPr>
          <w:iCs/>
          <w:sz w:val="24"/>
          <w:szCs w:val="24"/>
        </w:rPr>
        <w:t xml:space="preserve">jūliju (par periodu no 1.janvāra līdz 30.jūnijam) un uz </w:t>
      </w:r>
      <w:r w:rsidR="00FA20B2">
        <w:rPr>
          <w:iCs/>
          <w:sz w:val="24"/>
          <w:szCs w:val="24"/>
        </w:rPr>
        <w:t>nākošā</w:t>
      </w:r>
      <w:r w:rsidR="00FA20B2" w:rsidRPr="00990E57">
        <w:rPr>
          <w:iCs/>
          <w:sz w:val="24"/>
          <w:szCs w:val="24"/>
        </w:rPr>
        <w:t xml:space="preserve"> kalendārā gada </w:t>
      </w:r>
      <w:r w:rsidR="00F8399F" w:rsidRPr="00990E57">
        <w:rPr>
          <w:iCs/>
          <w:sz w:val="24"/>
          <w:szCs w:val="24"/>
        </w:rPr>
        <w:t>februāra mēneša pēdējo dienu</w:t>
      </w:r>
      <w:r w:rsidR="00DF1A45" w:rsidRPr="00990E57">
        <w:rPr>
          <w:iCs/>
          <w:sz w:val="24"/>
          <w:szCs w:val="24"/>
        </w:rPr>
        <w:t xml:space="preserve"> </w:t>
      </w:r>
      <w:r w:rsidR="00F8399F" w:rsidRPr="00990E57">
        <w:rPr>
          <w:iCs/>
          <w:sz w:val="24"/>
          <w:szCs w:val="24"/>
        </w:rPr>
        <w:t>(</w:t>
      </w:r>
      <w:r w:rsidR="00DF1A45" w:rsidRPr="00990E57">
        <w:rPr>
          <w:iCs/>
          <w:sz w:val="24"/>
          <w:szCs w:val="24"/>
        </w:rPr>
        <w:t>par</w:t>
      </w:r>
      <w:r w:rsidR="00F8399F" w:rsidRPr="00990E57">
        <w:rPr>
          <w:iCs/>
          <w:sz w:val="24"/>
          <w:szCs w:val="24"/>
        </w:rPr>
        <w:t xml:space="preserve"> periodu no 1.jūlija līdz 31.decembrim</w:t>
      </w:r>
      <w:r>
        <w:rPr>
          <w:iCs/>
          <w:sz w:val="24"/>
          <w:szCs w:val="24"/>
        </w:rPr>
        <w:t>)</w:t>
      </w:r>
      <w:r w:rsidR="00A64CFB">
        <w:rPr>
          <w:iCs/>
          <w:sz w:val="24"/>
          <w:szCs w:val="24"/>
        </w:rPr>
        <w:t xml:space="preserve"> </w:t>
      </w:r>
      <w:r w:rsidR="00A64CFB" w:rsidRPr="00990E57">
        <w:rPr>
          <w:iCs/>
          <w:sz w:val="24"/>
          <w:szCs w:val="24"/>
        </w:rPr>
        <w:t xml:space="preserve">par </w:t>
      </w:r>
      <w:r w:rsidR="00A64CFB" w:rsidRPr="00F05AB1">
        <w:rPr>
          <w:iCs/>
          <w:sz w:val="24"/>
          <w:szCs w:val="24"/>
        </w:rPr>
        <w:t>IZPILDĪTĀJA praksē reģistrēt</w:t>
      </w:r>
      <w:r w:rsidR="00A64CFB">
        <w:rPr>
          <w:iCs/>
          <w:sz w:val="24"/>
          <w:szCs w:val="24"/>
        </w:rPr>
        <w:t>aj</w:t>
      </w:r>
      <w:r w:rsidR="00A64CFB" w:rsidRPr="00F05AB1">
        <w:rPr>
          <w:iCs/>
          <w:sz w:val="24"/>
          <w:szCs w:val="24"/>
        </w:rPr>
        <w:t xml:space="preserve">iem pacientiem </w:t>
      </w:r>
      <w:r w:rsidR="00A64CFB" w:rsidRPr="00990E57">
        <w:rPr>
          <w:iCs/>
          <w:sz w:val="24"/>
          <w:szCs w:val="24"/>
        </w:rPr>
        <w:t>veiktajām manipulācijām</w:t>
      </w:r>
      <w:r w:rsidR="00A64CFB">
        <w:rPr>
          <w:iCs/>
          <w:sz w:val="24"/>
          <w:szCs w:val="24"/>
        </w:rPr>
        <w:t xml:space="preserve"> </w:t>
      </w:r>
      <w:r w:rsidR="00865D98">
        <w:rPr>
          <w:iCs/>
          <w:sz w:val="24"/>
          <w:szCs w:val="24"/>
        </w:rPr>
        <w:t>;</w:t>
      </w:r>
    </w:p>
    <w:p w14:paraId="5BF4314C" w14:textId="28733DE4" w:rsidR="00114BEE" w:rsidRPr="00114BEE" w:rsidRDefault="00A77F4C" w:rsidP="00250336">
      <w:pPr>
        <w:pStyle w:val="ListParagraph"/>
        <w:numPr>
          <w:ilvl w:val="1"/>
          <w:numId w:val="1"/>
        </w:numPr>
        <w:jc w:val="both"/>
        <w:rPr>
          <w:iCs/>
          <w:sz w:val="24"/>
          <w:szCs w:val="24"/>
        </w:rPr>
      </w:pPr>
      <w:r w:rsidRPr="00250336">
        <w:rPr>
          <w:sz w:val="24"/>
          <w:szCs w:val="24"/>
        </w:rPr>
        <w:t>a</w:t>
      </w:r>
      <w:r w:rsidR="00DF1A45" w:rsidRPr="00250336">
        <w:rPr>
          <w:sz w:val="24"/>
          <w:szCs w:val="24"/>
        </w:rPr>
        <w:t>tsaucības rādītāj</w:t>
      </w:r>
      <w:r w:rsidR="00114BEE">
        <w:rPr>
          <w:sz w:val="24"/>
          <w:szCs w:val="24"/>
        </w:rPr>
        <w:t>u</w:t>
      </w:r>
      <w:r w:rsidR="00DF1A45" w:rsidRPr="00250336">
        <w:rPr>
          <w:sz w:val="24"/>
          <w:szCs w:val="24"/>
        </w:rPr>
        <w:t xml:space="preserve"> (%), ko iegūst </w:t>
      </w:r>
      <w:r w:rsidRPr="00250336">
        <w:rPr>
          <w:sz w:val="24"/>
          <w:szCs w:val="24"/>
        </w:rPr>
        <w:t>šī dokumenta 5</w:t>
      </w:r>
      <w:r w:rsidR="00DF1A45" w:rsidRPr="00250336">
        <w:rPr>
          <w:sz w:val="24"/>
          <w:szCs w:val="24"/>
        </w:rPr>
        <w:t>.</w:t>
      </w:r>
      <w:r w:rsidR="00970EBF">
        <w:rPr>
          <w:sz w:val="24"/>
          <w:szCs w:val="24"/>
        </w:rPr>
        <w:t>2</w:t>
      </w:r>
      <w:r w:rsidR="00DF1A45" w:rsidRPr="00250336">
        <w:rPr>
          <w:sz w:val="24"/>
          <w:szCs w:val="24"/>
        </w:rPr>
        <w:t xml:space="preserve">.apakšpunktā </w:t>
      </w:r>
      <w:r w:rsidR="008F2B35">
        <w:rPr>
          <w:sz w:val="24"/>
          <w:szCs w:val="24"/>
        </w:rPr>
        <w:t>norādīto</w:t>
      </w:r>
      <w:r w:rsidRPr="00250336">
        <w:rPr>
          <w:sz w:val="24"/>
          <w:szCs w:val="24"/>
        </w:rPr>
        <w:t xml:space="preserve"> </w:t>
      </w:r>
      <w:r w:rsidR="00865D98" w:rsidRPr="00250336">
        <w:rPr>
          <w:sz w:val="24"/>
          <w:szCs w:val="24"/>
        </w:rPr>
        <w:t>izmeklējumu</w:t>
      </w:r>
      <w:r w:rsidR="009D7956" w:rsidRPr="00250336">
        <w:rPr>
          <w:sz w:val="24"/>
          <w:szCs w:val="24"/>
        </w:rPr>
        <w:t xml:space="preserve"> </w:t>
      </w:r>
      <w:r w:rsidR="00DF1A45" w:rsidRPr="00250336">
        <w:rPr>
          <w:sz w:val="24"/>
          <w:szCs w:val="24"/>
        </w:rPr>
        <w:t xml:space="preserve">skaitu, dalot ar </w:t>
      </w:r>
      <w:r w:rsidRPr="00250336">
        <w:rPr>
          <w:sz w:val="24"/>
          <w:szCs w:val="24"/>
        </w:rPr>
        <w:t>šī dokumenta 5</w:t>
      </w:r>
      <w:r w:rsidR="00DF1A45" w:rsidRPr="00250336">
        <w:rPr>
          <w:sz w:val="24"/>
          <w:szCs w:val="24"/>
        </w:rPr>
        <w:t>.</w:t>
      </w:r>
      <w:r w:rsidR="00970EBF">
        <w:rPr>
          <w:sz w:val="24"/>
          <w:szCs w:val="24"/>
        </w:rPr>
        <w:t>1</w:t>
      </w:r>
      <w:r w:rsidR="00DF1A45" w:rsidRPr="00250336">
        <w:rPr>
          <w:sz w:val="24"/>
          <w:szCs w:val="24"/>
        </w:rPr>
        <w:t xml:space="preserve">.apakšpunktā </w:t>
      </w:r>
      <w:r w:rsidR="008F2B35">
        <w:rPr>
          <w:sz w:val="24"/>
          <w:szCs w:val="24"/>
        </w:rPr>
        <w:t>norādīto</w:t>
      </w:r>
      <w:r w:rsidRPr="00250336">
        <w:rPr>
          <w:sz w:val="24"/>
          <w:szCs w:val="24"/>
        </w:rPr>
        <w:t xml:space="preserve"> </w:t>
      </w:r>
      <w:r w:rsidR="00DF1A45" w:rsidRPr="00250336">
        <w:rPr>
          <w:sz w:val="24"/>
          <w:szCs w:val="24"/>
        </w:rPr>
        <w:t>mērķa grupas lielumu</w:t>
      </w:r>
      <w:r w:rsidR="00114BEE">
        <w:rPr>
          <w:sz w:val="24"/>
          <w:szCs w:val="24"/>
        </w:rPr>
        <w:t>;</w:t>
      </w:r>
    </w:p>
    <w:p w14:paraId="0CF1C4E6" w14:textId="4B68B80E" w:rsidR="00250336" w:rsidRDefault="00970EBF" w:rsidP="00250336">
      <w:pPr>
        <w:pStyle w:val="ListParagraph"/>
        <w:numPr>
          <w:ilvl w:val="1"/>
          <w:numId w:val="1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atsaucības rādītāja</w:t>
      </w:r>
      <w:r w:rsidR="00250336" w:rsidRPr="00250336">
        <w:rPr>
          <w:sz w:val="24"/>
          <w:szCs w:val="24"/>
        </w:rPr>
        <w:t xml:space="preserve"> vērtību</w:t>
      </w:r>
      <w:r w:rsidR="00114BEE">
        <w:rPr>
          <w:sz w:val="24"/>
          <w:szCs w:val="24"/>
        </w:rPr>
        <w:t>, ko</w:t>
      </w:r>
      <w:r w:rsidR="00250336" w:rsidRPr="00250336">
        <w:rPr>
          <w:sz w:val="24"/>
          <w:szCs w:val="24"/>
        </w:rPr>
        <w:t xml:space="preserve"> nosak</w:t>
      </w:r>
      <w:r w:rsidR="00114BEE">
        <w:rPr>
          <w:sz w:val="24"/>
          <w:szCs w:val="24"/>
        </w:rPr>
        <w:t>a</w:t>
      </w:r>
      <w:r w:rsidR="00250336" w:rsidRPr="00250336">
        <w:rPr>
          <w:sz w:val="24"/>
          <w:szCs w:val="24"/>
        </w:rPr>
        <w:t xml:space="preserve"> šādā kā</w:t>
      </w:r>
      <w:r w:rsidR="00250336">
        <w:rPr>
          <w:sz w:val="24"/>
          <w:szCs w:val="24"/>
        </w:rPr>
        <w:t>r</w:t>
      </w:r>
      <w:r w:rsidR="00250336" w:rsidRPr="00250336">
        <w:rPr>
          <w:sz w:val="24"/>
          <w:szCs w:val="24"/>
        </w:rPr>
        <w:t>tībā:</w:t>
      </w:r>
    </w:p>
    <w:p w14:paraId="6B213483" w14:textId="52F797C1" w:rsidR="00250336" w:rsidRPr="00250336" w:rsidRDefault="00DF1A45" w:rsidP="00EA267C">
      <w:pPr>
        <w:pStyle w:val="ListParagraph"/>
        <w:numPr>
          <w:ilvl w:val="2"/>
          <w:numId w:val="1"/>
        </w:numPr>
        <w:tabs>
          <w:tab w:val="clear" w:pos="1440"/>
        </w:tabs>
        <w:ind w:left="993" w:hanging="567"/>
        <w:jc w:val="both"/>
        <w:rPr>
          <w:iCs/>
          <w:sz w:val="24"/>
          <w:szCs w:val="24"/>
        </w:rPr>
      </w:pPr>
      <w:r w:rsidRPr="00250336">
        <w:rPr>
          <w:iCs/>
          <w:sz w:val="24"/>
          <w:szCs w:val="24"/>
        </w:rPr>
        <w:t xml:space="preserve">ja </w:t>
      </w:r>
      <w:r w:rsidR="00250336">
        <w:rPr>
          <w:iCs/>
          <w:sz w:val="24"/>
          <w:szCs w:val="24"/>
        </w:rPr>
        <w:t>s</w:t>
      </w:r>
      <w:r w:rsidR="00250336" w:rsidRPr="00250336">
        <w:rPr>
          <w:iCs/>
          <w:sz w:val="24"/>
          <w:szCs w:val="24"/>
        </w:rPr>
        <w:t>asniegt</w:t>
      </w:r>
      <w:r w:rsidR="00250336">
        <w:rPr>
          <w:iCs/>
          <w:sz w:val="24"/>
          <w:szCs w:val="24"/>
        </w:rPr>
        <w:t>ais</w:t>
      </w:r>
      <w:r w:rsidR="00250336" w:rsidRPr="00250336">
        <w:rPr>
          <w:iCs/>
          <w:sz w:val="24"/>
          <w:szCs w:val="24"/>
        </w:rPr>
        <w:t xml:space="preserve"> atsaucības rādītāj</w:t>
      </w:r>
      <w:r w:rsidR="00250336">
        <w:rPr>
          <w:iCs/>
          <w:sz w:val="24"/>
          <w:szCs w:val="24"/>
        </w:rPr>
        <w:t>s</w:t>
      </w:r>
      <w:r w:rsidR="00250336" w:rsidRPr="00250336">
        <w:rPr>
          <w:iCs/>
          <w:sz w:val="24"/>
          <w:szCs w:val="24"/>
        </w:rPr>
        <w:t xml:space="preserve"> </w:t>
      </w:r>
      <w:r w:rsidR="00250336">
        <w:rPr>
          <w:iCs/>
          <w:sz w:val="24"/>
          <w:szCs w:val="24"/>
        </w:rPr>
        <w:t xml:space="preserve">(%) </w:t>
      </w:r>
      <w:r w:rsidRPr="00250336">
        <w:rPr>
          <w:iCs/>
          <w:sz w:val="24"/>
          <w:szCs w:val="24"/>
        </w:rPr>
        <w:t xml:space="preserve">ir </w:t>
      </w:r>
      <w:r w:rsidR="008B31B9" w:rsidRPr="00250336">
        <w:rPr>
          <w:iCs/>
          <w:sz w:val="24"/>
          <w:szCs w:val="24"/>
        </w:rPr>
        <w:t>50</w:t>
      </w:r>
      <w:r w:rsidRPr="00250336">
        <w:rPr>
          <w:iCs/>
          <w:sz w:val="24"/>
          <w:szCs w:val="24"/>
        </w:rPr>
        <w:t xml:space="preserve">% - </w:t>
      </w:r>
      <w:r w:rsidR="008B31B9" w:rsidRPr="00250336">
        <w:rPr>
          <w:iCs/>
          <w:sz w:val="24"/>
          <w:szCs w:val="24"/>
        </w:rPr>
        <w:t>7</w:t>
      </w:r>
      <w:r w:rsidRPr="00250336">
        <w:rPr>
          <w:iCs/>
          <w:sz w:val="24"/>
          <w:szCs w:val="24"/>
        </w:rPr>
        <w:t xml:space="preserve">0% robežās, summa izmaksai ir 10 EUR par katru </w:t>
      </w:r>
      <w:r w:rsidR="00250336">
        <w:rPr>
          <w:iCs/>
          <w:sz w:val="24"/>
          <w:szCs w:val="24"/>
        </w:rPr>
        <w:t>šī dokumenta 5</w:t>
      </w:r>
      <w:r w:rsidRPr="00250336">
        <w:rPr>
          <w:iCs/>
          <w:sz w:val="24"/>
          <w:szCs w:val="24"/>
        </w:rPr>
        <w:t>.</w:t>
      </w:r>
      <w:r w:rsidR="00970EBF">
        <w:rPr>
          <w:iCs/>
          <w:sz w:val="24"/>
          <w:szCs w:val="24"/>
        </w:rPr>
        <w:t>2</w:t>
      </w:r>
      <w:r w:rsidR="0095765B" w:rsidRPr="00250336">
        <w:rPr>
          <w:iCs/>
          <w:sz w:val="24"/>
          <w:szCs w:val="24"/>
        </w:rPr>
        <w:t>.</w:t>
      </w:r>
      <w:r w:rsidRPr="00250336">
        <w:rPr>
          <w:iCs/>
          <w:sz w:val="24"/>
          <w:szCs w:val="24"/>
        </w:rPr>
        <w:t xml:space="preserve"> apakšpunktā norādīto izmeklējumu;</w:t>
      </w:r>
    </w:p>
    <w:p w14:paraId="3612A249" w14:textId="1D6754F6" w:rsidR="00DF1A45" w:rsidRPr="00EA267C" w:rsidRDefault="00DF1A45" w:rsidP="00EA267C">
      <w:pPr>
        <w:pStyle w:val="ListParagraph"/>
        <w:numPr>
          <w:ilvl w:val="2"/>
          <w:numId w:val="1"/>
        </w:numPr>
        <w:tabs>
          <w:tab w:val="clear" w:pos="1440"/>
        </w:tabs>
        <w:ind w:left="993" w:hanging="567"/>
        <w:jc w:val="both"/>
        <w:rPr>
          <w:iCs/>
          <w:sz w:val="24"/>
          <w:szCs w:val="24"/>
        </w:rPr>
      </w:pPr>
      <w:r w:rsidRPr="00EA267C">
        <w:rPr>
          <w:iCs/>
          <w:sz w:val="24"/>
          <w:szCs w:val="24"/>
        </w:rPr>
        <w:t xml:space="preserve">ja </w:t>
      </w:r>
      <w:r w:rsidR="00174B55">
        <w:rPr>
          <w:iCs/>
          <w:sz w:val="24"/>
          <w:szCs w:val="24"/>
        </w:rPr>
        <w:t>s</w:t>
      </w:r>
      <w:r w:rsidR="00174B55" w:rsidRPr="001C3327">
        <w:rPr>
          <w:iCs/>
          <w:sz w:val="24"/>
          <w:szCs w:val="24"/>
        </w:rPr>
        <w:t>asniegt</w:t>
      </w:r>
      <w:r w:rsidR="00174B55">
        <w:rPr>
          <w:iCs/>
          <w:sz w:val="24"/>
          <w:szCs w:val="24"/>
        </w:rPr>
        <w:t>ais</w:t>
      </w:r>
      <w:r w:rsidR="00174B55" w:rsidRPr="001C3327">
        <w:rPr>
          <w:iCs/>
          <w:sz w:val="24"/>
          <w:szCs w:val="24"/>
        </w:rPr>
        <w:t xml:space="preserve"> atsaucības rādītāj</w:t>
      </w:r>
      <w:r w:rsidR="00174B55">
        <w:rPr>
          <w:iCs/>
          <w:sz w:val="24"/>
          <w:szCs w:val="24"/>
        </w:rPr>
        <w:t>s</w:t>
      </w:r>
      <w:r w:rsidR="00174B55" w:rsidRPr="001C3327">
        <w:rPr>
          <w:iCs/>
          <w:sz w:val="24"/>
          <w:szCs w:val="24"/>
        </w:rPr>
        <w:t xml:space="preserve"> (%)</w:t>
      </w:r>
      <w:r w:rsidR="00174B55">
        <w:rPr>
          <w:iCs/>
          <w:sz w:val="24"/>
          <w:szCs w:val="24"/>
        </w:rPr>
        <w:t xml:space="preserve"> ir </w:t>
      </w:r>
      <w:r w:rsidR="008B31B9" w:rsidRPr="00EA267C">
        <w:rPr>
          <w:iCs/>
          <w:sz w:val="24"/>
          <w:szCs w:val="24"/>
        </w:rPr>
        <w:t>7</w:t>
      </w:r>
      <w:r w:rsidRPr="00EA267C">
        <w:rPr>
          <w:iCs/>
          <w:sz w:val="24"/>
          <w:szCs w:val="24"/>
        </w:rPr>
        <w:t xml:space="preserve">1% un vairāk, summa izmaksai ir 20 EUR par katru </w:t>
      </w:r>
      <w:r w:rsidR="00174B55">
        <w:rPr>
          <w:iCs/>
          <w:sz w:val="24"/>
          <w:szCs w:val="24"/>
        </w:rPr>
        <w:t>šī dokumenta 5</w:t>
      </w:r>
      <w:r w:rsidRPr="00EA267C">
        <w:rPr>
          <w:iCs/>
          <w:sz w:val="24"/>
          <w:szCs w:val="24"/>
        </w:rPr>
        <w:t>.</w:t>
      </w:r>
      <w:r w:rsidR="00970EBF">
        <w:rPr>
          <w:iCs/>
          <w:sz w:val="24"/>
          <w:szCs w:val="24"/>
        </w:rPr>
        <w:t>2</w:t>
      </w:r>
      <w:r w:rsidR="0095765B" w:rsidRPr="00EA267C">
        <w:rPr>
          <w:iCs/>
          <w:sz w:val="24"/>
          <w:szCs w:val="24"/>
        </w:rPr>
        <w:t>.</w:t>
      </w:r>
      <w:r w:rsidRPr="00EA267C">
        <w:rPr>
          <w:iCs/>
          <w:sz w:val="24"/>
          <w:szCs w:val="24"/>
        </w:rPr>
        <w:t xml:space="preserve"> apakšpunktā norādīto izmeklējumu</w:t>
      </w:r>
      <w:r w:rsidR="007A417E" w:rsidRPr="00EA267C">
        <w:rPr>
          <w:iCs/>
          <w:sz w:val="24"/>
          <w:szCs w:val="24"/>
        </w:rPr>
        <w:t>.</w:t>
      </w:r>
    </w:p>
    <w:p w14:paraId="016CB494" w14:textId="77777777" w:rsidR="00327DCC" w:rsidRPr="00990E57" w:rsidRDefault="00327DCC" w:rsidP="00990E57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5D1B0EAB" w14:textId="6F51EE03" w:rsidR="00990E57" w:rsidRPr="00990E57" w:rsidRDefault="00114BEE" w:rsidP="00990E5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990E57">
        <w:rPr>
          <w:sz w:val="24"/>
          <w:szCs w:val="24"/>
        </w:rPr>
        <w:t>a IZPILDĪTĀJA praksē ir reģistrētas vismaz 20 sievietes vecuma grupā no 50 līdz 69 gadiem</w:t>
      </w:r>
      <w:r>
        <w:rPr>
          <w:sz w:val="24"/>
          <w:szCs w:val="24"/>
        </w:rPr>
        <w:t>, DIENESTS</w:t>
      </w:r>
      <w:r w:rsidR="00990E57" w:rsidRPr="00990E57">
        <w:rPr>
          <w:sz w:val="24"/>
          <w:szCs w:val="24"/>
        </w:rPr>
        <w:t xml:space="preserve"> </w:t>
      </w:r>
      <w:r w:rsidRPr="00990E57">
        <w:rPr>
          <w:sz w:val="24"/>
          <w:szCs w:val="24"/>
        </w:rPr>
        <w:t xml:space="preserve">aprēķina </w:t>
      </w:r>
      <w:r w:rsidR="00990E57" w:rsidRPr="00990E57">
        <w:rPr>
          <w:sz w:val="24"/>
          <w:szCs w:val="24"/>
        </w:rPr>
        <w:t xml:space="preserve">izmaksājamo summu par sasniegtajiem krūts vēža skrīninga atsaucības rādītājiem, ņemot vērā: </w:t>
      </w:r>
    </w:p>
    <w:p w14:paraId="1817D39E" w14:textId="73FA482D" w:rsidR="00AB0288" w:rsidRPr="00990E57" w:rsidRDefault="00AB0288" w:rsidP="00AB0288">
      <w:pPr>
        <w:pStyle w:val="ListParagraph"/>
        <w:numPr>
          <w:ilvl w:val="1"/>
          <w:numId w:val="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</w:t>
      </w:r>
      <w:r w:rsidRPr="00990E57">
        <w:rPr>
          <w:iCs/>
          <w:sz w:val="24"/>
          <w:szCs w:val="24"/>
        </w:rPr>
        <w:t xml:space="preserve">ērķa grupu, kas </w:t>
      </w:r>
      <w:r>
        <w:rPr>
          <w:iCs/>
          <w:sz w:val="24"/>
          <w:szCs w:val="24"/>
        </w:rPr>
        <w:t xml:space="preserve">ir </w:t>
      </w:r>
      <w:r w:rsidRPr="00990E57">
        <w:rPr>
          <w:sz w:val="24"/>
          <w:szCs w:val="24"/>
        </w:rPr>
        <w:t xml:space="preserve">IZPILDĪTĀJA praksē </w:t>
      </w:r>
      <w:r>
        <w:rPr>
          <w:sz w:val="24"/>
          <w:szCs w:val="24"/>
        </w:rPr>
        <w:t xml:space="preserve">uz vērtējamā perioda </w:t>
      </w:r>
      <w:r w:rsidRPr="00AB0288">
        <w:rPr>
          <w:sz w:val="24"/>
          <w:szCs w:val="24"/>
        </w:rPr>
        <w:t>(</w:t>
      </w:r>
      <w:r w:rsidR="008F2B35" w:rsidRPr="008F2B35">
        <w:rPr>
          <w:sz w:val="24"/>
          <w:szCs w:val="24"/>
        </w:rPr>
        <w:t>periods no 1.janvāra līdz 30.jūnijam vai periods no 1.jūlija līdz 31.decembrim)</w:t>
      </w:r>
      <w:r w:rsidR="008F2B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pēdējo dienu reģistrēto to pacienšu skaits, kas kurām vērtējamā periodā </w:t>
      </w:r>
      <w:r w:rsidRPr="00990E57">
        <w:rPr>
          <w:sz w:val="24"/>
          <w:szCs w:val="24"/>
        </w:rPr>
        <w:t>ir izsūtīt</w:t>
      </w:r>
      <w:r>
        <w:rPr>
          <w:sz w:val="24"/>
          <w:szCs w:val="24"/>
        </w:rPr>
        <w:t>as</w:t>
      </w:r>
      <w:r w:rsidRPr="00990E57">
        <w:rPr>
          <w:sz w:val="24"/>
          <w:szCs w:val="24"/>
        </w:rPr>
        <w:t xml:space="preserve"> krūts vēža skrīninga uzaicinājuma vēstu</w:t>
      </w:r>
      <w:r>
        <w:rPr>
          <w:sz w:val="24"/>
          <w:szCs w:val="24"/>
        </w:rPr>
        <w:t>les</w:t>
      </w:r>
      <w:r w:rsidR="006D0318">
        <w:rPr>
          <w:rStyle w:val="FootnoteReference"/>
          <w:sz w:val="24"/>
          <w:szCs w:val="24"/>
        </w:rPr>
        <w:footnoteReference w:id="6"/>
      </w:r>
      <w:r>
        <w:rPr>
          <w:sz w:val="24"/>
          <w:szCs w:val="24"/>
        </w:rPr>
        <w:t>;</w:t>
      </w:r>
    </w:p>
    <w:p w14:paraId="37F43128" w14:textId="69B2622E" w:rsidR="00990E57" w:rsidRPr="00990E57" w:rsidRDefault="006D0318" w:rsidP="00990E57">
      <w:pPr>
        <w:pStyle w:val="ListParagraph"/>
        <w:numPr>
          <w:ilvl w:val="1"/>
          <w:numId w:val="1"/>
        </w:numPr>
        <w:jc w:val="both"/>
        <w:rPr>
          <w:iCs/>
          <w:sz w:val="24"/>
          <w:szCs w:val="24"/>
        </w:rPr>
      </w:pPr>
      <w:r w:rsidRPr="006D0318">
        <w:rPr>
          <w:iCs/>
          <w:sz w:val="24"/>
          <w:szCs w:val="24"/>
        </w:rPr>
        <w:t>IZPILDĪTĀJA praksē reģistrētām pacientēm</w:t>
      </w:r>
      <w:r>
        <w:rPr>
          <w:iCs/>
          <w:sz w:val="24"/>
          <w:szCs w:val="24"/>
        </w:rPr>
        <w:t xml:space="preserve"> v</w:t>
      </w:r>
      <w:r w:rsidR="00990E57" w:rsidRPr="00990E57">
        <w:rPr>
          <w:iCs/>
          <w:sz w:val="24"/>
          <w:szCs w:val="24"/>
        </w:rPr>
        <w:t>eikto krūts vēža skrīninga izmeklējumu skaitu, ko iegūst</w:t>
      </w:r>
      <w:r w:rsidR="007A417E">
        <w:rPr>
          <w:iCs/>
          <w:sz w:val="24"/>
          <w:szCs w:val="24"/>
        </w:rPr>
        <w:t>,</w:t>
      </w:r>
      <w:r w:rsidR="00990E57" w:rsidRPr="00990E57">
        <w:rPr>
          <w:iCs/>
          <w:sz w:val="24"/>
          <w:szCs w:val="24"/>
        </w:rPr>
        <w:t xml:space="preserve"> atlasot datus uz </w:t>
      </w:r>
      <w:r w:rsidR="00A30242" w:rsidRPr="00990E57">
        <w:rPr>
          <w:iCs/>
          <w:sz w:val="24"/>
          <w:szCs w:val="24"/>
        </w:rPr>
        <w:t>tekošā gada</w:t>
      </w:r>
      <w:r w:rsidR="00A30242">
        <w:rPr>
          <w:iCs/>
          <w:sz w:val="24"/>
          <w:szCs w:val="24"/>
        </w:rPr>
        <w:t xml:space="preserve"> </w:t>
      </w:r>
      <w:r w:rsidR="00990E57" w:rsidRPr="00990E57">
        <w:rPr>
          <w:iCs/>
          <w:sz w:val="24"/>
          <w:szCs w:val="24"/>
        </w:rPr>
        <w:t xml:space="preserve">31.jūliju (par periodu no 1.janvāra līdz 30.jūnijam) un uz </w:t>
      </w:r>
      <w:r w:rsidR="00A30242">
        <w:rPr>
          <w:iCs/>
          <w:sz w:val="24"/>
          <w:szCs w:val="24"/>
        </w:rPr>
        <w:t>nākošā</w:t>
      </w:r>
      <w:r w:rsidR="00A30242" w:rsidRPr="00990E57">
        <w:rPr>
          <w:iCs/>
          <w:sz w:val="24"/>
          <w:szCs w:val="24"/>
        </w:rPr>
        <w:t xml:space="preserve"> kalendārā gada </w:t>
      </w:r>
      <w:r w:rsidR="00990E57" w:rsidRPr="00990E57">
        <w:rPr>
          <w:iCs/>
          <w:sz w:val="24"/>
          <w:szCs w:val="24"/>
        </w:rPr>
        <w:t>februāra mēneša pēdējo dienu (par periodu no 1.jūlija līdz 31.decembrim)</w:t>
      </w:r>
      <w:r w:rsidR="007A417E">
        <w:rPr>
          <w:iCs/>
          <w:sz w:val="24"/>
          <w:szCs w:val="24"/>
        </w:rPr>
        <w:t>;</w:t>
      </w:r>
      <w:r w:rsidR="00A30242">
        <w:rPr>
          <w:iCs/>
          <w:sz w:val="24"/>
          <w:szCs w:val="24"/>
        </w:rPr>
        <w:t xml:space="preserve"> </w:t>
      </w:r>
    </w:p>
    <w:p w14:paraId="7F5EA80C" w14:textId="5C1A3788" w:rsidR="00990E57" w:rsidRPr="00990E57" w:rsidRDefault="006D0318" w:rsidP="00990E57">
      <w:pPr>
        <w:pStyle w:val="ListParagraph"/>
        <w:numPr>
          <w:ilvl w:val="1"/>
          <w:numId w:val="1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a</w:t>
      </w:r>
      <w:r w:rsidR="00990E57" w:rsidRPr="00990E57">
        <w:rPr>
          <w:sz w:val="24"/>
          <w:szCs w:val="24"/>
        </w:rPr>
        <w:t xml:space="preserve">tsaucības rādītāju (%), ko iegūst </w:t>
      </w:r>
      <w:r>
        <w:rPr>
          <w:sz w:val="24"/>
          <w:szCs w:val="24"/>
        </w:rPr>
        <w:t>šī dokumenta 6</w:t>
      </w:r>
      <w:r w:rsidR="00990E57" w:rsidRPr="00990E57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990E57" w:rsidRPr="00990E57">
        <w:rPr>
          <w:sz w:val="24"/>
          <w:szCs w:val="24"/>
        </w:rPr>
        <w:t xml:space="preserve">.apakšpunktā </w:t>
      </w:r>
      <w:r w:rsidR="008F2B35">
        <w:rPr>
          <w:sz w:val="24"/>
          <w:szCs w:val="24"/>
        </w:rPr>
        <w:t>norādīto</w:t>
      </w:r>
      <w:r w:rsidR="00990E57" w:rsidRPr="00990E57">
        <w:rPr>
          <w:sz w:val="24"/>
          <w:szCs w:val="24"/>
        </w:rPr>
        <w:t xml:space="preserve"> manipulāciju skaitu, dalot ar </w:t>
      </w:r>
      <w:r>
        <w:rPr>
          <w:sz w:val="24"/>
          <w:szCs w:val="24"/>
        </w:rPr>
        <w:t>šī dokumenta 6</w:t>
      </w:r>
      <w:r w:rsidR="00990E57" w:rsidRPr="00990E57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990E57" w:rsidRPr="00990E57">
        <w:rPr>
          <w:sz w:val="24"/>
          <w:szCs w:val="24"/>
        </w:rPr>
        <w:t xml:space="preserve">.apakšpunktā </w:t>
      </w:r>
      <w:r w:rsidR="008F2B35">
        <w:rPr>
          <w:sz w:val="24"/>
          <w:szCs w:val="24"/>
        </w:rPr>
        <w:t>norādīto</w:t>
      </w:r>
      <w:r w:rsidR="00990E57" w:rsidRPr="00990E57">
        <w:rPr>
          <w:sz w:val="24"/>
          <w:szCs w:val="24"/>
        </w:rPr>
        <w:t xml:space="preserve"> mērķa grupas lielumu;</w:t>
      </w:r>
    </w:p>
    <w:p w14:paraId="51A181C0" w14:textId="19853BC7" w:rsidR="008F2B35" w:rsidRDefault="00990E57" w:rsidP="00990E57">
      <w:pPr>
        <w:pStyle w:val="ListParagraph"/>
        <w:numPr>
          <w:ilvl w:val="1"/>
          <w:numId w:val="1"/>
        </w:numPr>
        <w:jc w:val="both"/>
        <w:rPr>
          <w:iCs/>
          <w:sz w:val="24"/>
          <w:szCs w:val="24"/>
        </w:rPr>
      </w:pPr>
      <w:r w:rsidRPr="00990E57">
        <w:rPr>
          <w:iCs/>
          <w:sz w:val="24"/>
          <w:szCs w:val="24"/>
        </w:rPr>
        <w:t>atsaucības rādītāj</w:t>
      </w:r>
      <w:r w:rsidR="008F2B35">
        <w:rPr>
          <w:iCs/>
          <w:sz w:val="24"/>
          <w:szCs w:val="24"/>
        </w:rPr>
        <w:t>a</w:t>
      </w:r>
      <w:r w:rsidRPr="00990E57">
        <w:rPr>
          <w:iCs/>
          <w:sz w:val="24"/>
          <w:szCs w:val="24"/>
        </w:rPr>
        <w:t xml:space="preserve"> </w:t>
      </w:r>
      <w:r w:rsidR="008F2B35">
        <w:rPr>
          <w:iCs/>
          <w:sz w:val="24"/>
          <w:szCs w:val="24"/>
        </w:rPr>
        <w:t>vērtību, ko nosaka šādā kaŗtībā:</w:t>
      </w:r>
    </w:p>
    <w:p w14:paraId="6E027CEC" w14:textId="43B0217B" w:rsidR="008F2B35" w:rsidRPr="00990E57" w:rsidRDefault="00990E57" w:rsidP="00EA267C">
      <w:pPr>
        <w:pStyle w:val="ListParagraph"/>
        <w:numPr>
          <w:ilvl w:val="2"/>
          <w:numId w:val="1"/>
        </w:numPr>
        <w:tabs>
          <w:tab w:val="clear" w:pos="1440"/>
        </w:tabs>
        <w:ind w:left="993" w:hanging="567"/>
        <w:jc w:val="both"/>
        <w:rPr>
          <w:iCs/>
          <w:sz w:val="24"/>
          <w:szCs w:val="24"/>
        </w:rPr>
      </w:pPr>
      <w:r w:rsidRPr="00990E57">
        <w:rPr>
          <w:iCs/>
          <w:sz w:val="24"/>
          <w:szCs w:val="24"/>
        </w:rPr>
        <w:lastRenderedPageBreak/>
        <w:t xml:space="preserve">ja </w:t>
      </w:r>
      <w:r w:rsidR="008F2B35">
        <w:rPr>
          <w:iCs/>
          <w:sz w:val="24"/>
          <w:szCs w:val="24"/>
        </w:rPr>
        <w:t xml:space="preserve">sasniegtais atsaucības rādītājs (%) </w:t>
      </w:r>
      <w:r w:rsidRPr="00990E57">
        <w:rPr>
          <w:iCs/>
          <w:sz w:val="24"/>
          <w:szCs w:val="24"/>
        </w:rPr>
        <w:t xml:space="preserve">ir 60% - 70% robežās, summa izmaksai ir 10 EUR par katru </w:t>
      </w:r>
      <w:r w:rsidR="008F2B35">
        <w:rPr>
          <w:iCs/>
          <w:sz w:val="24"/>
          <w:szCs w:val="24"/>
        </w:rPr>
        <w:t>6</w:t>
      </w:r>
      <w:r w:rsidRPr="00990E57">
        <w:rPr>
          <w:iCs/>
          <w:sz w:val="24"/>
          <w:szCs w:val="24"/>
        </w:rPr>
        <w:t>.</w:t>
      </w:r>
      <w:r w:rsidR="008F2B35">
        <w:rPr>
          <w:iCs/>
          <w:sz w:val="24"/>
          <w:szCs w:val="24"/>
        </w:rPr>
        <w:t>2</w:t>
      </w:r>
      <w:r w:rsidRPr="00990E57">
        <w:rPr>
          <w:iCs/>
          <w:sz w:val="24"/>
          <w:szCs w:val="24"/>
        </w:rPr>
        <w:t xml:space="preserve"> apakšpunktā norādīto izmeklējumu;</w:t>
      </w:r>
    </w:p>
    <w:p w14:paraId="5CC2AE74" w14:textId="616D6AE7" w:rsidR="00990E57" w:rsidRPr="00EA267C" w:rsidRDefault="00990E57" w:rsidP="00EA267C">
      <w:pPr>
        <w:pStyle w:val="ListParagraph"/>
        <w:numPr>
          <w:ilvl w:val="2"/>
          <w:numId w:val="1"/>
        </w:numPr>
        <w:tabs>
          <w:tab w:val="clear" w:pos="1440"/>
        </w:tabs>
        <w:ind w:left="993" w:hanging="567"/>
        <w:jc w:val="both"/>
        <w:rPr>
          <w:iCs/>
          <w:sz w:val="24"/>
          <w:szCs w:val="24"/>
        </w:rPr>
      </w:pPr>
      <w:r w:rsidRPr="00EA267C">
        <w:rPr>
          <w:iCs/>
          <w:sz w:val="24"/>
          <w:szCs w:val="24"/>
        </w:rPr>
        <w:t xml:space="preserve">ja </w:t>
      </w:r>
      <w:r w:rsidR="008F2B35">
        <w:rPr>
          <w:iCs/>
          <w:sz w:val="24"/>
          <w:szCs w:val="24"/>
        </w:rPr>
        <w:t>s</w:t>
      </w:r>
      <w:r w:rsidR="008F2B35" w:rsidRPr="002D5C16">
        <w:rPr>
          <w:iCs/>
          <w:sz w:val="24"/>
          <w:szCs w:val="24"/>
        </w:rPr>
        <w:t>asniegt</w:t>
      </w:r>
      <w:r w:rsidR="008F2B35">
        <w:rPr>
          <w:iCs/>
          <w:sz w:val="24"/>
          <w:szCs w:val="24"/>
        </w:rPr>
        <w:t>ais</w:t>
      </w:r>
      <w:r w:rsidR="008F2B35" w:rsidRPr="002D5C16">
        <w:rPr>
          <w:iCs/>
          <w:sz w:val="24"/>
          <w:szCs w:val="24"/>
        </w:rPr>
        <w:t xml:space="preserve"> atsaucības rādītāj</w:t>
      </w:r>
      <w:r w:rsidR="008F2B35">
        <w:rPr>
          <w:iCs/>
          <w:sz w:val="24"/>
          <w:szCs w:val="24"/>
        </w:rPr>
        <w:t>s</w:t>
      </w:r>
      <w:r w:rsidR="008F2B35" w:rsidRPr="002D5C16">
        <w:rPr>
          <w:iCs/>
          <w:sz w:val="24"/>
          <w:szCs w:val="24"/>
        </w:rPr>
        <w:t xml:space="preserve"> (%)</w:t>
      </w:r>
      <w:r w:rsidR="008F2B35">
        <w:rPr>
          <w:iCs/>
          <w:sz w:val="24"/>
          <w:szCs w:val="24"/>
        </w:rPr>
        <w:t xml:space="preserve"> ir</w:t>
      </w:r>
      <w:r w:rsidRPr="00EA267C">
        <w:rPr>
          <w:iCs/>
          <w:sz w:val="24"/>
          <w:szCs w:val="24"/>
        </w:rPr>
        <w:t xml:space="preserve"> 71% un vairāk, summa izmaksai ir 20 EUR par katru </w:t>
      </w:r>
      <w:r w:rsidR="008F2B35">
        <w:rPr>
          <w:iCs/>
          <w:sz w:val="24"/>
          <w:szCs w:val="24"/>
        </w:rPr>
        <w:t>6</w:t>
      </w:r>
      <w:r w:rsidRPr="00EA267C">
        <w:rPr>
          <w:iCs/>
          <w:sz w:val="24"/>
          <w:szCs w:val="24"/>
        </w:rPr>
        <w:t>.</w:t>
      </w:r>
      <w:r w:rsidR="008F2B35">
        <w:rPr>
          <w:iCs/>
          <w:sz w:val="24"/>
          <w:szCs w:val="24"/>
        </w:rPr>
        <w:t>2</w:t>
      </w:r>
      <w:r w:rsidRPr="00EA267C">
        <w:rPr>
          <w:iCs/>
          <w:sz w:val="24"/>
          <w:szCs w:val="24"/>
        </w:rPr>
        <w:t xml:space="preserve"> apakšpunktā norādīto izmeklējumu</w:t>
      </w:r>
      <w:r w:rsidR="007A417E" w:rsidRPr="00EA267C">
        <w:rPr>
          <w:iCs/>
          <w:sz w:val="24"/>
          <w:szCs w:val="24"/>
        </w:rPr>
        <w:t>.</w:t>
      </w:r>
    </w:p>
    <w:p w14:paraId="3E45C8BE" w14:textId="77777777" w:rsidR="00327DCC" w:rsidRPr="00990E57" w:rsidRDefault="00327DCC" w:rsidP="00990E57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14:paraId="4EED4B4D" w14:textId="33EE42A8" w:rsidR="00CE026B" w:rsidRPr="007A417E" w:rsidRDefault="00D27AD6" w:rsidP="00F902F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90E57">
        <w:rPr>
          <w:sz w:val="24"/>
          <w:szCs w:val="24"/>
        </w:rPr>
        <w:t xml:space="preserve">DIENESTS </w:t>
      </w:r>
      <w:r w:rsidR="00290A6E" w:rsidRPr="00990E57">
        <w:rPr>
          <w:sz w:val="24"/>
          <w:szCs w:val="24"/>
        </w:rPr>
        <w:t>maksājumu</w:t>
      </w:r>
      <w:r w:rsidRPr="00990E57">
        <w:rPr>
          <w:sz w:val="24"/>
          <w:szCs w:val="24"/>
        </w:rPr>
        <w:t xml:space="preserve"> par sasniegtajiem</w:t>
      </w:r>
      <w:r w:rsidR="003551C6" w:rsidRPr="00990E57">
        <w:rPr>
          <w:sz w:val="24"/>
          <w:szCs w:val="24"/>
        </w:rPr>
        <w:t xml:space="preserve"> zarnu</w:t>
      </w:r>
      <w:r w:rsidR="007B1A62" w:rsidRPr="00990E57">
        <w:rPr>
          <w:sz w:val="24"/>
          <w:szCs w:val="24"/>
        </w:rPr>
        <w:t xml:space="preserve"> un prostatas</w:t>
      </w:r>
      <w:r w:rsidR="003551C6" w:rsidRPr="00990E57">
        <w:rPr>
          <w:sz w:val="24"/>
          <w:szCs w:val="24"/>
        </w:rPr>
        <w:t xml:space="preserve"> vēža skrīninga</w:t>
      </w:r>
      <w:r w:rsidRPr="00990E57">
        <w:rPr>
          <w:sz w:val="24"/>
          <w:szCs w:val="24"/>
        </w:rPr>
        <w:t xml:space="preserve"> atsaucības rādītājiem</w:t>
      </w:r>
      <w:r w:rsidR="00290A6E" w:rsidRPr="00990E57">
        <w:rPr>
          <w:sz w:val="24"/>
          <w:szCs w:val="24"/>
        </w:rPr>
        <w:t xml:space="preserve"> IZPILDĪTĀJAM izmaksā </w:t>
      </w:r>
      <w:r w:rsidR="007B1A62" w:rsidRPr="00990E57">
        <w:rPr>
          <w:sz w:val="24"/>
          <w:szCs w:val="24"/>
        </w:rPr>
        <w:t>reizi</w:t>
      </w:r>
      <w:r w:rsidR="00290A6E" w:rsidRPr="00990E57">
        <w:rPr>
          <w:sz w:val="24"/>
          <w:szCs w:val="24"/>
        </w:rPr>
        <w:t xml:space="preserve"> gadā </w:t>
      </w:r>
      <w:r w:rsidR="00D50C2C">
        <w:rPr>
          <w:sz w:val="24"/>
          <w:szCs w:val="24"/>
        </w:rPr>
        <w:t>–</w:t>
      </w:r>
      <w:r w:rsidR="003551C6" w:rsidRPr="00990E57">
        <w:rPr>
          <w:sz w:val="24"/>
          <w:szCs w:val="24"/>
        </w:rPr>
        <w:t xml:space="preserve"> </w:t>
      </w:r>
      <w:r w:rsidRPr="00990E57">
        <w:rPr>
          <w:sz w:val="24"/>
          <w:szCs w:val="24"/>
        </w:rPr>
        <w:t>līdz</w:t>
      </w:r>
      <w:r w:rsidR="00AF4F11">
        <w:rPr>
          <w:sz w:val="24"/>
          <w:szCs w:val="24"/>
        </w:rPr>
        <w:t xml:space="preserve"> 30.septembrim</w:t>
      </w:r>
      <w:r w:rsidR="0025772F" w:rsidRPr="00990E57">
        <w:rPr>
          <w:sz w:val="24"/>
          <w:szCs w:val="24"/>
        </w:rPr>
        <w:t>,</w:t>
      </w:r>
      <w:r w:rsidR="007851BF" w:rsidRPr="00990E57">
        <w:rPr>
          <w:sz w:val="24"/>
          <w:szCs w:val="24"/>
        </w:rPr>
        <w:t xml:space="preserve"> </w:t>
      </w:r>
      <w:r w:rsidRPr="00990E57">
        <w:rPr>
          <w:sz w:val="24"/>
          <w:szCs w:val="24"/>
        </w:rPr>
        <w:t xml:space="preserve">paredzot, ka ne mazāk kā 30 % no maksājuma </w:t>
      </w:r>
      <w:r w:rsidR="0025772F" w:rsidRPr="00990E57">
        <w:rPr>
          <w:sz w:val="24"/>
          <w:szCs w:val="24"/>
        </w:rPr>
        <w:t>IZPILDĪTĀJS izmaksā vidējam medicīnas personālam.</w:t>
      </w:r>
    </w:p>
    <w:p w14:paraId="04FB001D" w14:textId="22B1B873" w:rsidR="00FE5B13" w:rsidRPr="00990E57" w:rsidRDefault="00FE5B13" w:rsidP="00990E57">
      <w:pPr>
        <w:jc w:val="both"/>
        <w:rPr>
          <w:sz w:val="24"/>
          <w:szCs w:val="24"/>
          <w:lang w:eastAsia="lv-LV"/>
        </w:rPr>
      </w:pPr>
    </w:p>
    <w:p w14:paraId="17AD9C15" w14:textId="08E4AEB8" w:rsidR="001E25D4" w:rsidRPr="00F902FA" w:rsidRDefault="0025772F" w:rsidP="00F902FA">
      <w:pPr>
        <w:pStyle w:val="ListParagraph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F902FA">
        <w:rPr>
          <w:sz w:val="24"/>
          <w:szCs w:val="24"/>
        </w:rPr>
        <w:t xml:space="preserve">DIENESTS maksājumu par sasniegtajiem </w:t>
      </w:r>
      <w:r w:rsidRPr="00990E57">
        <w:rPr>
          <w:sz w:val="24"/>
          <w:szCs w:val="24"/>
        </w:rPr>
        <w:t xml:space="preserve">dzemdes kakla un krūts vēža </w:t>
      </w:r>
      <w:r w:rsidRPr="00F902FA">
        <w:rPr>
          <w:sz w:val="24"/>
          <w:szCs w:val="24"/>
        </w:rPr>
        <w:t xml:space="preserve">skrīninga atsaucības rādītājiem IZPILDĪTĀJAM izmaksā </w:t>
      </w:r>
      <w:r w:rsidRPr="00990E57">
        <w:rPr>
          <w:sz w:val="24"/>
          <w:szCs w:val="24"/>
        </w:rPr>
        <w:t>divas reizes gadā</w:t>
      </w:r>
      <w:r w:rsidRPr="00F902FA">
        <w:rPr>
          <w:sz w:val="24"/>
          <w:szCs w:val="24"/>
        </w:rPr>
        <w:t>,</w:t>
      </w:r>
      <w:r w:rsidRPr="00990E57">
        <w:rPr>
          <w:sz w:val="24"/>
          <w:szCs w:val="24"/>
        </w:rPr>
        <w:t xml:space="preserve"> līdz 31.augustam (par periodu no 1.janvāra līdz</w:t>
      </w:r>
      <w:r w:rsidR="008B31B9" w:rsidRPr="00990E57">
        <w:rPr>
          <w:sz w:val="24"/>
          <w:szCs w:val="24"/>
        </w:rPr>
        <w:t xml:space="preserve"> 30.jūnijam) un līdz 31.martam (par periodu no 1.jūlija līdz 31.decembrim)</w:t>
      </w:r>
      <w:r w:rsidRPr="00F902FA">
        <w:rPr>
          <w:sz w:val="24"/>
          <w:szCs w:val="24"/>
        </w:rPr>
        <w:t xml:space="preserve"> paredzot, ka ne mazāk kā 30 % no maksājuma</w:t>
      </w:r>
      <w:r w:rsidR="0071380F">
        <w:rPr>
          <w:sz w:val="24"/>
          <w:szCs w:val="24"/>
        </w:rPr>
        <w:t xml:space="preserve"> </w:t>
      </w:r>
      <w:r w:rsidRPr="00F902FA">
        <w:rPr>
          <w:sz w:val="24"/>
          <w:szCs w:val="24"/>
        </w:rPr>
        <w:t>IZPIL</w:t>
      </w:r>
      <w:r w:rsidRPr="00990E57">
        <w:rPr>
          <w:sz w:val="24"/>
          <w:szCs w:val="24"/>
        </w:rPr>
        <w:t>DĪTĀ</w:t>
      </w:r>
      <w:r w:rsidRPr="00F902FA">
        <w:rPr>
          <w:sz w:val="24"/>
          <w:szCs w:val="24"/>
        </w:rPr>
        <w:t>JS izmaksā vidējam medicīnas personālam.</w:t>
      </w:r>
    </w:p>
    <w:p w14:paraId="12ABFF1A" w14:textId="77777777" w:rsidR="00C941F8" w:rsidRPr="00990E57" w:rsidRDefault="00C941F8" w:rsidP="00F902FA">
      <w:pPr>
        <w:jc w:val="both"/>
        <w:rPr>
          <w:color w:val="000000"/>
          <w:sz w:val="24"/>
          <w:szCs w:val="24"/>
        </w:rPr>
      </w:pPr>
    </w:p>
    <w:p w14:paraId="04C1D3A4" w14:textId="379B63BA" w:rsidR="00AC257B" w:rsidRPr="003B1A8E" w:rsidRDefault="00AC257B" w:rsidP="00DF1A45">
      <w:pPr>
        <w:suppressAutoHyphens/>
        <w:autoSpaceDN w:val="0"/>
        <w:ind w:left="2127" w:right="-143" w:hanging="993"/>
        <w:jc w:val="both"/>
        <w:textAlignment w:val="baseline"/>
        <w:rPr>
          <w:color w:val="000000"/>
          <w:sz w:val="24"/>
          <w:szCs w:val="24"/>
        </w:rPr>
      </w:pPr>
    </w:p>
    <w:sectPr w:rsidR="00AC257B" w:rsidRPr="003B1A8E" w:rsidSect="00017B0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1F2E" w14:textId="77777777" w:rsidR="00E136BC" w:rsidRDefault="00E136BC" w:rsidP="005446F6">
      <w:r>
        <w:separator/>
      </w:r>
    </w:p>
  </w:endnote>
  <w:endnote w:type="continuationSeparator" w:id="0">
    <w:p w14:paraId="7BA0F9D9" w14:textId="77777777" w:rsidR="00E136BC" w:rsidRDefault="00E136BC" w:rsidP="0054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85AC" w14:textId="77777777" w:rsidR="00E136BC" w:rsidRDefault="00E136BC" w:rsidP="005446F6">
      <w:r>
        <w:separator/>
      </w:r>
    </w:p>
  </w:footnote>
  <w:footnote w:type="continuationSeparator" w:id="0">
    <w:p w14:paraId="2BEA28E5" w14:textId="77777777" w:rsidR="00E136BC" w:rsidRDefault="00E136BC" w:rsidP="005446F6">
      <w:r>
        <w:continuationSeparator/>
      </w:r>
    </w:p>
  </w:footnote>
  <w:footnote w:id="1">
    <w:p w14:paraId="400FA503" w14:textId="51FD3EAA" w:rsidR="005446F6" w:rsidRPr="00EA267C" w:rsidRDefault="005446F6" w:rsidP="00EA267C">
      <w:pPr>
        <w:pStyle w:val="FootnoteText"/>
        <w:jc w:val="both"/>
      </w:pPr>
      <w:r w:rsidRPr="0045058C">
        <w:rPr>
          <w:rStyle w:val="FootnoteReference"/>
          <w:sz w:val="22"/>
          <w:szCs w:val="22"/>
        </w:rPr>
        <w:footnoteRef/>
      </w:r>
      <w:r w:rsidRPr="0045058C">
        <w:rPr>
          <w:sz w:val="22"/>
          <w:szCs w:val="22"/>
        </w:rPr>
        <w:t xml:space="preserve"> </w:t>
      </w:r>
      <w:r w:rsidRPr="00EA267C">
        <w:t xml:space="preserve">2022.gadā summu </w:t>
      </w:r>
      <w:r w:rsidR="00BF703B" w:rsidRPr="00EA267C">
        <w:t xml:space="preserve">par sasniegtajiem zarnu vēža skrīninga atsaucības rādītājiem </w:t>
      </w:r>
      <w:r w:rsidRPr="00EA267C">
        <w:t xml:space="preserve">aprēķina par izmeklējumiem, </w:t>
      </w:r>
      <w:r w:rsidRPr="00EA267C">
        <w:rPr>
          <w:iCs/>
        </w:rPr>
        <w:t>kas veikti no 2022. gada 1. janvāra līdz 2022. gada 30. jūnijam.</w:t>
      </w:r>
    </w:p>
  </w:footnote>
  <w:footnote w:id="2">
    <w:p w14:paraId="5A12E70D" w14:textId="1C592525" w:rsidR="0045058C" w:rsidRPr="00EA267C" w:rsidRDefault="0045058C" w:rsidP="00EA267C">
      <w:pPr>
        <w:pStyle w:val="FootnoteText"/>
        <w:jc w:val="both"/>
      </w:pPr>
      <w:r w:rsidRPr="00EA267C">
        <w:rPr>
          <w:rStyle w:val="FootnoteReference"/>
        </w:rPr>
        <w:footnoteRef/>
      </w:r>
      <w:r w:rsidRPr="00EA267C">
        <w:t xml:space="preserve"> 2022.gadā summu par sasniegtajiem zarnu vēža skrīninga atsaucības rādītājiem aprēķina par izmeklējumiem, </w:t>
      </w:r>
      <w:r w:rsidRPr="00EA267C">
        <w:rPr>
          <w:iCs/>
        </w:rPr>
        <w:t>kas veikti no 2022. gada 1. janvāra līdz 2022. gada 30. jūnijam.</w:t>
      </w:r>
    </w:p>
  </w:footnote>
  <w:footnote w:id="3">
    <w:p w14:paraId="464A93EF" w14:textId="77777777" w:rsidR="00174B55" w:rsidRDefault="00174B55" w:rsidP="00174B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82A91">
        <w:t xml:space="preserve">2022.gadā mērķa grupas pacientu skaits tiek noteikts </w:t>
      </w:r>
      <w:r>
        <w:t>apmērā, kas ir puse no reģistrētajiem vīriešiem attiecīgajā vecumā</w:t>
      </w:r>
      <w:r w:rsidRPr="00082A91">
        <w:t>.</w:t>
      </w:r>
    </w:p>
  </w:footnote>
  <w:footnote w:id="4">
    <w:p w14:paraId="3B844FB8" w14:textId="6EF825E9" w:rsidR="003D4305" w:rsidRDefault="003D4305" w:rsidP="00EA267C">
      <w:pPr>
        <w:pStyle w:val="FootnoteText"/>
        <w:jc w:val="both"/>
      </w:pPr>
      <w:r w:rsidRPr="00B506FD">
        <w:rPr>
          <w:rStyle w:val="FootnoteReference"/>
        </w:rPr>
        <w:footnoteRef/>
      </w:r>
      <w:r w:rsidRPr="00B506FD">
        <w:t xml:space="preserve"> 2022.gadā summu par sasniegtajiem prostatas vēža atsaucības rādītājiem </w:t>
      </w:r>
      <w:r w:rsidR="00B506FD" w:rsidRPr="00B506FD">
        <w:t xml:space="preserve">aprēķina par </w:t>
      </w:r>
      <w:r w:rsidR="00B506FD" w:rsidRPr="00EA267C">
        <w:t xml:space="preserve">izmeklējumiem, kas veikti </w:t>
      </w:r>
      <w:r w:rsidRPr="00EA267C">
        <w:t>no 2021. gada 1. jūlija līdz 2022. gada 30. jūnijam</w:t>
      </w:r>
      <w:r w:rsidR="00B506FD" w:rsidRPr="00EA267C">
        <w:t>.</w:t>
      </w:r>
      <w:r>
        <w:rPr>
          <w:iCs/>
          <w:sz w:val="24"/>
          <w:szCs w:val="24"/>
        </w:rPr>
        <w:t xml:space="preserve"> </w:t>
      </w:r>
    </w:p>
  </w:footnote>
  <w:footnote w:id="5">
    <w:p w14:paraId="63392E4D" w14:textId="2472A632" w:rsidR="00F05AB1" w:rsidRDefault="00F05AB1" w:rsidP="00EA267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Vēstules tiek izsūtītas sievietēm, k</w:t>
      </w:r>
      <w:r w:rsidR="006D0318">
        <w:t>ur</w:t>
      </w:r>
      <w:r>
        <w:t xml:space="preserve">as atbilst Ministru kabineta </w:t>
      </w:r>
      <w:r w:rsidR="006D0318" w:rsidRPr="006D0318">
        <w:t>2018.</w:t>
      </w:r>
      <w:r w:rsidR="006D0318">
        <w:t xml:space="preserve">gada 28.augusta noteikumiem Nr.555 </w:t>
      </w:r>
      <w:r w:rsidR="006D0318" w:rsidRPr="006D0318">
        <w:t xml:space="preserve"> </w:t>
      </w:r>
      <w:r w:rsidR="006D0318">
        <w:t>“</w:t>
      </w:r>
      <w:r w:rsidR="006D0318" w:rsidRPr="006D0318">
        <w:t>Veselības aprūpes pakalpojumu organizēšanas un samaksas kārtība</w:t>
      </w:r>
      <w:r w:rsidR="006D0318">
        <w:t>” 72.1.apakš</w:t>
      </w:r>
      <w:r>
        <w:t xml:space="preserve">punkta minētajiem nosacījumiem. </w:t>
      </w:r>
    </w:p>
  </w:footnote>
  <w:footnote w:id="6">
    <w:p w14:paraId="77B07C40" w14:textId="0DF50872" w:rsidR="006D0318" w:rsidRDefault="006D0318" w:rsidP="00EA267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0318">
        <w:t>Vēstules tiek izsūtītas sievietēm, kuras atbilst Ministru kabineta 2018.gada 28.augusta noteikumiem Nr.555  “Veselības aprūpes pakalpojumu organizēšanas un samaksas kārtība” 72.</w:t>
      </w:r>
      <w:r>
        <w:t>2</w:t>
      </w:r>
      <w:r w:rsidRPr="006D0318">
        <w:t>.apakšpunkta minētajiem nosacījumiem.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F84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9F01C2F"/>
    <w:multiLevelType w:val="hybridMultilevel"/>
    <w:tmpl w:val="E6362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D13D0"/>
    <w:multiLevelType w:val="multilevel"/>
    <w:tmpl w:val="8572D5E6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5B286662"/>
    <w:multiLevelType w:val="multilevel"/>
    <w:tmpl w:val="052A9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55798034">
    <w:abstractNumId w:val="0"/>
  </w:num>
  <w:num w:numId="2" w16cid:durableId="470833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6606003">
    <w:abstractNumId w:val="3"/>
  </w:num>
  <w:num w:numId="4" w16cid:durableId="1306737360">
    <w:abstractNumId w:val="1"/>
  </w:num>
  <w:num w:numId="5" w16cid:durableId="656222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7B"/>
    <w:rsid w:val="00002898"/>
    <w:rsid w:val="00013109"/>
    <w:rsid w:val="00017B0F"/>
    <w:rsid w:val="0004253A"/>
    <w:rsid w:val="00063123"/>
    <w:rsid w:val="00092DA4"/>
    <w:rsid w:val="000A1108"/>
    <w:rsid w:val="000A4D88"/>
    <w:rsid w:val="000B1FA2"/>
    <w:rsid w:val="000B7D51"/>
    <w:rsid w:val="000E42FD"/>
    <w:rsid w:val="000F48F6"/>
    <w:rsid w:val="00106C68"/>
    <w:rsid w:val="00114BEE"/>
    <w:rsid w:val="00131E47"/>
    <w:rsid w:val="001407FD"/>
    <w:rsid w:val="00142DD8"/>
    <w:rsid w:val="00174B55"/>
    <w:rsid w:val="00180981"/>
    <w:rsid w:val="001A367E"/>
    <w:rsid w:val="001C044B"/>
    <w:rsid w:val="001C71F8"/>
    <w:rsid w:val="001D39BA"/>
    <w:rsid w:val="001D61BF"/>
    <w:rsid w:val="001E1CD8"/>
    <w:rsid w:val="001E25D4"/>
    <w:rsid w:val="001E7E50"/>
    <w:rsid w:val="001F4410"/>
    <w:rsid w:val="00213BFC"/>
    <w:rsid w:val="00250336"/>
    <w:rsid w:val="00251DF2"/>
    <w:rsid w:val="0025772F"/>
    <w:rsid w:val="00263E04"/>
    <w:rsid w:val="00271050"/>
    <w:rsid w:val="00290A6E"/>
    <w:rsid w:val="00290C3F"/>
    <w:rsid w:val="00292009"/>
    <w:rsid w:val="00292D9F"/>
    <w:rsid w:val="00295EC0"/>
    <w:rsid w:val="002B3DE3"/>
    <w:rsid w:val="002D0CAB"/>
    <w:rsid w:val="002E5057"/>
    <w:rsid w:val="00304624"/>
    <w:rsid w:val="00306281"/>
    <w:rsid w:val="00310614"/>
    <w:rsid w:val="00314600"/>
    <w:rsid w:val="003268E1"/>
    <w:rsid w:val="00327DCC"/>
    <w:rsid w:val="00335DF8"/>
    <w:rsid w:val="00340496"/>
    <w:rsid w:val="003418AF"/>
    <w:rsid w:val="003522FE"/>
    <w:rsid w:val="003551C6"/>
    <w:rsid w:val="0037373C"/>
    <w:rsid w:val="00383A9C"/>
    <w:rsid w:val="00384C92"/>
    <w:rsid w:val="00395E93"/>
    <w:rsid w:val="003A1E01"/>
    <w:rsid w:val="003D4305"/>
    <w:rsid w:val="003E3B67"/>
    <w:rsid w:val="003F0DF8"/>
    <w:rsid w:val="003F2A18"/>
    <w:rsid w:val="00416799"/>
    <w:rsid w:val="00426800"/>
    <w:rsid w:val="00434C93"/>
    <w:rsid w:val="004451C9"/>
    <w:rsid w:val="00445DEB"/>
    <w:rsid w:val="0045058C"/>
    <w:rsid w:val="00484682"/>
    <w:rsid w:val="004B004D"/>
    <w:rsid w:val="004B0A97"/>
    <w:rsid w:val="004D38DF"/>
    <w:rsid w:val="004D5F03"/>
    <w:rsid w:val="004F586C"/>
    <w:rsid w:val="00500D3B"/>
    <w:rsid w:val="005120EF"/>
    <w:rsid w:val="00531DCE"/>
    <w:rsid w:val="005328D4"/>
    <w:rsid w:val="005446F6"/>
    <w:rsid w:val="00544989"/>
    <w:rsid w:val="00547943"/>
    <w:rsid w:val="00563704"/>
    <w:rsid w:val="005730D2"/>
    <w:rsid w:val="005938DF"/>
    <w:rsid w:val="00593A6C"/>
    <w:rsid w:val="00596338"/>
    <w:rsid w:val="005B2922"/>
    <w:rsid w:val="005B4426"/>
    <w:rsid w:val="005B649B"/>
    <w:rsid w:val="005C00AA"/>
    <w:rsid w:val="005D7254"/>
    <w:rsid w:val="005E548D"/>
    <w:rsid w:val="00601694"/>
    <w:rsid w:val="00611B0C"/>
    <w:rsid w:val="006309FA"/>
    <w:rsid w:val="00651C51"/>
    <w:rsid w:val="006745F9"/>
    <w:rsid w:val="00676ACC"/>
    <w:rsid w:val="006C6F59"/>
    <w:rsid w:val="006D0318"/>
    <w:rsid w:val="006D2208"/>
    <w:rsid w:val="006E5CB3"/>
    <w:rsid w:val="006E69EF"/>
    <w:rsid w:val="0070073C"/>
    <w:rsid w:val="0070118A"/>
    <w:rsid w:val="0070232F"/>
    <w:rsid w:val="00713696"/>
    <w:rsid w:val="0071380F"/>
    <w:rsid w:val="00723A35"/>
    <w:rsid w:val="00727F04"/>
    <w:rsid w:val="007331CC"/>
    <w:rsid w:val="00741ED1"/>
    <w:rsid w:val="007540F0"/>
    <w:rsid w:val="0075779B"/>
    <w:rsid w:val="00764F1C"/>
    <w:rsid w:val="00771E4F"/>
    <w:rsid w:val="007851BF"/>
    <w:rsid w:val="00790ED4"/>
    <w:rsid w:val="00796DAF"/>
    <w:rsid w:val="007A1E61"/>
    <w:rsid w:val="007A417E"/>
    <w:rsid w:val="007A4536"/>
    <w:rsid w:val="007B1A62"/>
    <w:rsid w:val="008031D3"/>
    <w:rsid w:val="00805286"/>
    <w:rsid w:val="008206A8"/>
    <w:rsid w:val="00863714"/>
    <w:rsid w:val="00865D98"/>
    <w:rsid w:val="00867460"/>
    <w:rsid w:val="008B31B9"/>
    <w:rsid w:val="008D6739"/>
    <w:rsid w:val="008F2B35"/>
    <w:rsid w:val="00915432"/>
    <w:rsid w:val="009221F6"/>
    <w:rsid w:val="009270E4"/>
    <w:rsid w:val="00940CAC"/>
    <w:rsid w:val="00950F74"/>
    <w:rsid w:val="009512D5"/>
    <w:rsid w:val="0095765B"/>
    <w:rsid w:val="00964B61"/>
    <w:rsid w:val="0096511E"/>
    <w:rsid w:val="00970EBF"/>
    <w:rsid w:val="00971C8F"/>
    <w:rsid w:val="00990E57"/>
    <w:rsid w:val="009933DA"/>
    <w:rsid w:val="00997C19"/>
    <w:rsid w:val="009A649D"/>
    <w:rsid w:val="009C372A"/>
    <w:rsid w:val="009C4EDB"/>
    <w:rsid w:val="009D7956"/>
    <w:rsid w:val="00A00023"/>
    <w:rsid w:val="00A00737"/>
    <w:rsid w:val="00A2404C"/>
    <w:rsid w:val="00A30242"/>
    <w:rsid w:val="00A42580"/>
    <w:rsid w:val="00A56198"/>
    <w:rsid w:val="00A63533"/>
    <w:rsid w:val="00A64CFB"/>
    <w:rsid w:val="00A7046C"/>
    <w:rsid w:val="00A74048"/>
    <w:rsid w:val="00A77F4C"/>
    <w:rsid w:val="00A86749"/>
    <w:rsid w:val="00A924B3"/>
    <w:rsid w:val="00A92644"/>
    <w:rsid w:val="00AA4ED5"/>
    <w:rsid w:val="00AA799E"/>
    <w:rsid w:val="00AB0288"/>
    <w:rsid w:val="00AB62BC"/>
    <w:rsid w:val="00AC257B"/>
    <w:rsid w:val="00AD4D7C"/>
    <w:rsid w:val="00AE48D1"/>
    <w:rsid w:val="00AE56CE"/>
    <w:rsid w:val="00AF1552"/>
    <w:rsid w:val="00AF4F11"/>
    <w:rsid w:val="00B20A22"/>
    <w:rsid w:val="00B22025"/>
    <w:rsid w:val="00B506FD"/>
    <w:rsid w:val="00B81A67"/>
    <w:rsid w:val="00B830F6"/>
    <w:rsid w:val="00B838D7"/>
    <w:rsid w:val="00B86A31"/>
    <w:rsid w:val="00B91D22"/>
    <w:rsid w:val="00BB6C3F"/>
    <w:rsid w:val="00BD02ED"/>
    <w:rsid w:val="00BD1ED7"/>
    <w:rsid w:val="00BF6F9A"/>
    <w:rsid w:val="00BF703B"/>
    <w:rsid w:val="00C16D07"/>
    <w:rsid w:val="00C64087"/>
    <w:rsid w:val="00C67E69"/>
    <w:rsid w:val="00C85536"/>
    <w:rsid w:val="00C929DC"/>
    <w:rsid w:val="00C941F8"/>
    <w:rsid w:val="00C950CA"/>
    <w:rsid w:val="00C9532F"/>
    <w:rsid w:val="00CA355C"/>
    <w:rsid w:val="00CA47DF"/>
    <w:rsid w:val="00CB2402"/>
    <w:rsid w:val="00CB7E6C"/>
    <w:rsid w:val="00CC03A0"/>
    <w:rsid w:val="00CD5EF3"/>
    <w:rsid w:val="00CE026B"/>
    <w:rsid w:val="00CE4FA9"/>
    <w:rsid w:val="00D052DC"/>
    <w:rsid w:val="00D27AD6"/>
    <w:rsid w:val="00D3094B"/>
    <w:rsid w:val="00D30A0A"/>
    <w:rsid w:val="00D40AA7"/>
    <w:rsid w:val="00D46BA0"/>
    <w:rsid w:val="00D50C2C"/>
    <w:rsid w:val="00D521D3"/>
    <w:rsid w:val="00D52DEB"/>
    <w:rsid w:val="00D6229D"/>
    <w:rsid w:val="00D62B94"/>
    <w:rsid w:val="00D7577D"/>
    <w:rsid w:val="00D77FCB"/>
    <w:rsid w:val="00DB2330"/>
    <w:rsid w:val="00DB7207"/>
    <w:rsid w:val="00DC15B5"/>
    <w:rsid w:val="00DC6639"/>
    <w:rsid w:val="00DD6061"/>
    <w:rsid w:val="00DD75C7"/>
    <w:rsid w:val="00DE22E6"/>
    <w:rsid w:val="00DF1A45"/>
    <w:rsid w:val="00DF4447"/>
    <w:rsid w:val="00E136BC"/>
    <w:rsid w:val="00E549E9"/>
    <w:rsid w:val="00E5643A"/>
    <w:rsid w:val="00E565DF"/>
    <w:rsid w:val="00E5777C"/>
    <w:rsid w:val="00E77798"/>
    <w:rsid w:val="00E778DC"/>
    <w:rsid w:val="00E90CBC"/>
    <w:rsid w:val="00E90FB6"/>
    <w:rsid w:val="00EA2105"/>
    <w:rsid w:val="00EA267C"/>
    <w:rsid w:val="00EB1559"/>
    <w:rsid w:val="00EC3D60"/>
    <w:rsid w:val="00ED4A1A"/>
    <w:rsid w:val="00ED586E"/>
    <w:rsid w:val="00EE632C"/>
    <w:rsid w:val="00EF2CB0"/>
    <w:rsid w:val="00EF3D0B"/>
    <w:rsid w:val="00F04A27"/>
    <w:rsid w:val="00F05AB1"/>
    <w:rsid w:val="00F06577"/>
    <w:rsid w:val="00F13353"/>
    <w:rsid w:val="00F31A27"/>
    <w:rsid w:val="00F32244"/>
    <w:rsid w:val="00F51D6B"/>
    <w:rsid w:val="00F57202"/>
    <w:rsid w:val="00F60254"/>
    <w:rsid w:val="00F65B85"/>
    <w:rsid w:val="00F65F00"/>
    <w:rsid w:val="00F671B2"/>
    <w:rsid w:val="00F827EF"/>
    <w:rsid w:val="00F82913"/>
    <w:rsid w:val="00F8399F"/>
    <w:rsid w:val="00F902FA"/>
    <w:rsid w:val="00FA20B2"/>
    <w:rsid w:val="00FC6D8A"/>
    <w:rsid w:val="00FE452B"/>
    <w:rsid w:val="00FE5B13"/>
    <w:rsid w:val="00FF4856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A2E1CA"/>
  <w15:chartTrackingRefBased/>
  <w15:docId w15:val="{BFBF5D0F-4BA7-4D19-8DC3-F185BA59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57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257B"/>
    <w:rPr>
      <w:color w:val="0000FF"/>
      <w:u w:val="single"/>
    </w:rPr>
  </w:style>
  <w:style w:type="paragraph" w:styleId="BalloonText">
    <w:name w:val="Balloon Text"/>
    <w:basedOn w:val="Normal"/>
    <w:semiHidden/>
    <w:rsid w:val="00A92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C92"/>
    <w:pPr>
      <w:ind w:left="720"/>
    </w:pPr>
  </w:style>
  <w:style w:type="paragraph" w:styleId="BodyText">
    <w:name w:val="Body Text"/>
    <w:basedOn w:val="Normal"/>
    <w:link w:val="BodyTextChar"/>
    <w:rsid w:val="00FE5B13"/>
    <w:pPr>
      <w:spacing w:after="120"/>
    </w:pPr>
  </w:style>
  <w:style w:type="character" w:customStyle="1" w:styleId="BodyTextChar">
    <w:name w:val="Body Text Char"/>
    <w:link w:val="BodyText"/>
    <w:rsid w:val="00FE5B13"/>
    <w:rPr>
      <w:lang w:eastAsia="en-US"/>
    </w:rPr>
  </w:style>
  <w:style w:type="character" w:styleId="CommentReference">
    <w:name w:val="annotation reference"/>
    <w:rsid w:val="00EB15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559"/>
  </w:style>
  <w:style w:type="character" w:customStyle="1" w:styleId="CommentTextChar">
    <w:name w:val="Comment Text Char"/>
    <w:link w:val="CommentText"/>
    <w:rsid w:val="00EB155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1559"/>
    <w:rPr>
      <w:b/>
      <w:bCs/>
    </w:rPr>
  </w:style>
  <w:style w:type="character" w:customStyle="1" w:styleId="CommentSubjectChar">
    <w:name w:val="Comment Subject Char"/>
    <w:link w:val="CommentSubject"/>
    <w:rsid w:val="00EB1559"/>
    <w:rPr>
      <w:b/>
      <w:bCs/>
      <w:lang w:eastAsia="en-US"/>
    </w:rPr>
  </w:style>
  <w:style w:type="paragraph" w:styleId="Revision">
    <w:name w:val="Revision"/>
    <w:hidden/>
    <w:uiPriority w:val="99"/>
    <w:semiHidden/>
    <w:rsid w:val="008D6739"/>
    <w:rPr>
      <w:lang w:eastAsia="en-US"/>
    </w:rPr>
  </w:style>
  <w:style w:type="paragraph" w:styleId="FootnoteText">
    <w:name w:val="footnote text"/>
    <w:basedOn w:val="Normal"/>
    <w:link w:val="FootnoteTextChar"/>
    <w:rsid w:val="005446F6"/>
  </w:style>
  <w:style w:type="character" w:customStyle="1" w:styleId="FootnoteTextChar">
    <w:name w:val="Footnote Text Char"/>
    <w:basedOn w:val="DefaultParagraphFont"/>
    <w:link w:val="FootnoteText"/>
    <w:rsid w:val="005446F6"/>
    <w:rPr>
      <w:lang w:eastAsia="en-US"/>
    </w:rPr>
  </w:style>
  <w:style w:type="character" w:styleId="FootnoteReference">
    <w:name w:val="footnote reference"/>
    <w:basedOn w:val="DefaultParagraphFont"/>
    <w:rsid w:val="005446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55E8-57B5-4F0B-B751-BA9B4C72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4372</Words>
  <Characters>2493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VOAVA</Company>
  <LinksUpToDate>false</LinksUpToDate>
  <CharactersWithSpaces>6852</CharactersWithSpaces>
  <SharedDoc>false</SharedDoc>
  <HLinks>
    <vt:vector size="6" baseType="variant">
      <vt:variant>
        <vt:i4>2818127</vt:i4>
      </vt:variant>
      <vt:variant>
        <vt:i4>0</vt:i4>
      </vt:variant>
      <vt:variant>
        <vt:i4>0</vt:i4>
      </vt:variant>
      <vt:variant>
        <vt:i4>5</vt:i4>
      </vt:variant>
      <vt:variant>
        <vt:lpwstr>mailto:atbalsts@eveseliba.gov.lv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ieva.babrova</dc:creator>
  <cp:keywords/>
  <cp:lastModifiedBy>Līva Seile</cp:lastModifiedBy>
  <cp:revision>3</cp:revision>
  <cp:lastPrinted>2018-12-19T12:09:00Z</cp:lastPrinted>
  <dcterms:created xsi:type="dcterms:W3CDTF">2022-09-01T13:20:00Z</dcterms:created>
  <dcterms:modified xsi:type="dcterms:W3CDTF">2022-09-21T05:56:00Z</dcterms:modified>
</cp:coreProperties>
</file>