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F5" w:rsidRPr="00935DF5" w:rsidRDefault="00935DF5" w:rsidP="00935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 w:rsidRPr="00935D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Kārtība, kādā sniedzami veselības aprūpes pakalpojumi sirds un asinsvadu slimību profilaksei</w:t>
      </w:r>
    </w:p>
    <w:p w:rsidR="00293438" w:rsidRPr="00935DF5" w:rsidRDefault="00293438" w:rsidP="0029343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</w:pPr>
      <w:bookmarkStart w:id="1" w:name="p1"/>
      <w:bookmarkStart w:id="2" w:name="p-663249"/>
      <w:bookmarkEnd w:id="1"/>
      <w:bookmarkEnd w:id="2"/>
      <w:r w:rsidRPr="00293438"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  <w:t>1.pielikums</w:t>
      </w:r>
    </w:p>
    <w:p w:rsidR="00935DF5" w:rsidRPr="00293438" w:rsidRDefault="00935DF5" w:rsidP="00935DF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</w:pPr>
      <w:bookmarkStart w:id="3" w:name="p7"/>
      <w:bookmarkStart w:id="4" w:name="p-663255"/>
      <w:bookmarkStart w:id="5" w:name="663258"/>
      <w:bookmarkStart w:id="6" w:name="n-663258"/>
      <w:bookmarkEnd w:id="3"/>
      <w:bookmarkEnd w:id="4"/>
      <w:bookmarkEnd w:id="5"/>
      <w:bookmarkEnd w:id="6"/>
      <w:r w:rsidRPr="00935DF5"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  <w:t>Rīcība pēc sirds un asinsvadu slimības riska vērtējuma noteikšanas</w:t>
      </w:r>
    </w:p>
    <w:p w:rsidR="00293438" w:rsidRPr="00935DF5" w:rsidRDefault="00293438" w:rsidP="00935D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5"/>
        <w:gridCol w:w="1180"/>
        <w:gridCol w:w="1730"/>
        <w:gridCol w:w="1898"/>
        <w:gridCol w:w="2567"/>
      </w:tblGrid>
      <w:tr w:rsidR="00935DF5" w:rsidRPr="00935DF5" w:rsidTr="00935DF5">
        <w:trPr>
          <w:tblCellSpacing w:w="15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Riska vērtējums</w:t>
            </w:r>
          </w:p>
        </w:tc>
        <w:tc>
          <w:tcPr>
            <w:tcW w:w="2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Pirmās ģimenes ārsta vizītes laikā*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Atkārtotu ģimenes ārsta vizīšu laikā</w:t>
            </w:r>
          </w:p>
        </w:tc>
      </w:tr>
      <w:tr w:rsidR="00935DF5" w:rsidRPr="00935DF5" w:rsidTr="00935DF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laboratoriskie izmeklējumi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citi izmeklējumi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rekomendācijas un terapija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atkārtota riska noteikšana</w:t>
            </w:r>
          </w:p>
        </w:tc>
      </w:tr>
      <w:tr w:rsidR="00935DF5" w:rsidRPr="00935DF5" w:rsidTr="00935DF5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 Zems risks (SCORE mazāk par 1 %)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1.1. Veic asins bioķīmisko analīzi un izvērtē, vai nav izmainīts glikozes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glikozētā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hemoglobīna līmenis, ja tukšās dūšas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glikēmija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bija noteikta virs 6,1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(ieskaitot)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1.2. Netiek veikti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1.3. Pacientam sniedz šādas rekomendācijas un/vai terapiju: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1.3.1. ja pacientam ir kāds no sirds un asinsvadu slimību riska faktoriem, sniedz rekomendācijas par nepieciešamajām izmaiņām dzīvesveidā: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1.3.1.1. uzturā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1.3.1.2. fiziskās aktivitātes līmenī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1.3.1.3. smēķēšanas paradumos;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1.3.2.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160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(ieskaitot), pacientam uzsāk antihipertensīvo terapiju;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1.3.3.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140 (ieskaitot) līdz 159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90 (ieskaitot) līdz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personai rekomendē veikt paškontroles mērījumus vismaz vienu nedēļu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1.4. Atkārtotu ģimenes ārsta vizīti plāno pacientiem, kuriem: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1.4.1. uzsākta antihipertensīvā terapija, – 4–6 nedēļu laikā;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1.4.2. rekomendēts veikt paškontroles mērījumus, – līdz trim mēnešiem</w:t>
            </w:r>
          </w:p>
        </w:tc>
      </w:tr>
      <w:tr w:rsidR="00935DF5" w:rsidRPr="00935DF5" w:rsidTr="00935DF5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 Vidējs risks (SCORE 1–2 %)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2.1.1. asins bioķīmisko analīzi un izvērtē, vai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nav izmainīti šādi rādītāji: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2.1.1.1. lipīdu frakcijas (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triglicerīdi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augsta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lietojot tiešo metodi);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2.1.1.2.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kreatinīns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no tā aprēķināmais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glomerulu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filtrācijas ātrums;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2.1.1.3. glikozes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glikozētā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hemoglobīna līmenis, ja tukšās dūšas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glikēmija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bija noteikta virs 6,1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(ieskaitot)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2.2.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2.2.1. elektrokardiogrammu;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2.2.2.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ja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sirds auskultācijā izklausa trokšņus un/vai ja elektrokardiogrammā ir konstatēta viena no šādām izmaiņām: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2.2.2.1. sirds kreisā kambara hipertrofija;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2.2.2.2.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ventrikulāras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ekstrasistoles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2.2.2.3. pirmreizēja priekškambaru plandīšanās un/vai mirgošana;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2.2.2.4. aizdomas par pārslimotu miokarda infarktu;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2.2.2.5. īsta vai maskēta arteriālā hipertensija;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2.2.3.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ja personai ir konstatētas divas no šādām indikācijām: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2.2.3.1. smēķēšana;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2.2.3.2. arteriālā hipertensija;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2.2.3.3. kopējā holesterīna koncentrācija ir virs 6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vai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virs 4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2.3. Pacientam sniedz šādas rekomendācijas un/vai terapiju: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2.3.1. ja ir kāds no sirds un asinsvadu slimību riska faktoriem, sniedz rekomendācijas par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nepieciešamajām izmaiņām dzīvesveidā: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2.3.1.1. uzturā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2.3.1.2. fiziskās aktivitātes līmenī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2.3.1.3. smēķēšanas paradumos;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2.3.2.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160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(ieskaitot), pacientam uzsāk antihipertensīvo terapiju;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2.3.3.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140 (ieskaitot) līdz 159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90 (ieskaitot) līdz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personai rekomendē veikt paškontroles mērījumus vismaz vienu nedēļu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2.4. Atbilstoši izmeklējumu rezultātiem veic šādas darbības: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2.4.1. pacientiem ar arteriālu hipertensiju un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koncentrāciju virs 3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(ieskaitot), ja ar izmaiņām dzīvesveidā zema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koncentrācijas mērķi sešu mēnešu laikā neizdodas sasniegt, apsver zemas intensitātes lipīdu līmeni pazeminošu terapiju, pirms kuras uzsākšanas laboratoriski nosaka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alanīnaminotransferāzes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kreatīnfosfokināzes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rādītājus;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2.4.2. ja kopējā holesterīna koncentrācija ir virs 7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(ieskaitot) un/vai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virs 5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(ieskaitot), rekomendē noteikt lipīdu frakcijas pirmās pakāpes radiniekiem neatkarīgi no vecuma;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2.4.3. atkārtotu ģimenes ārsta vizīti plāno: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2.4.3.1. 4–6 nedēļu laikā, ja pacientam uzsākta antihipertensīvā un/vai lipīdu līmeni pazeminošā terapija;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2.4.3.2. triju mēnešu laikā, ja personai rekomendēts veikt paškontroles mērījumus un/vai veikti laboratoriskie izmeklējumi un elektrokardiogramma. Vizītes laikā izvērtē to rezultātus un atkārtoti nosaka sirds un asinsvadu slimību risku, kā arī izvērtē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miega artērijas ultrasonogrāfijas nepieciešamību atbilstoši šā pielikuma 2.2.2. un 2.2.3. apakšpunktam;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2.4.3.3. sešu mēnešu laikā, ja veikta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un/vai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Vizītes laikā izvērtē to rezultātus un atkārtoti nosaka sirds un asinsvadu slimību risku;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2.4.4. sirds un asinsvadu slimību riska vērtējumu maina: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2.4.4.1. uz ļoti augstu risku, ja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konstatē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pangu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(asinsvada sieniņas vidējā slāņa (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intima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media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 sabiezējums), kas lielāka par 1,5 mm, vai stenozi;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2.4.4.2. uz vidēji paaugstinātu risku, ja konstatē augsta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koncentrāciju (vīrietim zem 1,0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/L, sievietei zem 1,2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/L)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triglicerīdu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koncentrāciju virs 2,3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/L, vai tukšās dūšas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hiperglikēmiju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vai ķermeņa masas indeksu virs 30 kg/m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lv-LV"/>
              </w:rPr>
              <w:t>2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(ieskaitot), vai vidukļa apkārtmēru vīrietim virs 102 cm vai sievietei 88 cm (ieskaitot);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2.4.5. pacientu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nosūta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uz kardiologa konsultāciju, ja: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2.4.5.1. elektrokardiogrammā ir konstatēta vismaz viena no šādām izmaiņām – pirmreizēja priekškambaru plandīšanās un/vai mirgošana, pārslimots miokarda infarkts ar Q zobu;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2.4.5.2.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ir konstatēta vismaz viena no šādām izmaiņām – sirds kreisā kambara hipertrofija (lielāka par 15 mm),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ventrikulāras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ekstrasistoles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pirmreizēja priekškambaru plandīšanās un/vai mirgošana, sirds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izsviedes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frakcija ir mazāka par 50 %, mērena vai smaga vārstuļu stenoze, trešās vai ceturtās pakāpes vārstuļu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regurgitācija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hipokinēzijas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akinēzijas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labā kambara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spiediens ir lielāks par 50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2.4.5.3. vismaz divās dažādās vizītēs neatkarīgi no terapijas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180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110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</w:p>
        </w:tc>
      </w:tr>
      <w:tr w:rsidR="00935DF5" w:rsidRPr="00935DF5" w:rsidTr="00935DF5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3. Vidēji augsts risks (SCORE 3–4 %)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3.1.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3.1.1. asins bioķīmisko analīzi un izvērtē, vai nav izmainīti šādi rādītāji: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3.1.1.1. lipīdu frakcijas (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triglicerīdi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augsta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lietojot tiešo metodi);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3.1.1.2.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kreatinīns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no tā aprēķināmais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glomerulu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filtrācijas ātrums;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3.1.1.3. glikozes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glikozētā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hemoglobīna līmenis, ja tukšās dūšas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glikēmija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bija noteikta virs 6,1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(ieskaitot)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3.2.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3.2.1. elektrokardiogrammu;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3.2.2.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ja sirds auskultācijā izklausa trokšņus un/vai ja elektrokardiogrammā ir konstatēta viena no šādām izmaiņām: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3.2.2.1. sirds kreisā kambara hipertrofija;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3.2.2.2.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ventrikulāras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ekstrasistoles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3.2.2.3. pirmreizēja priekškambaru plandīšanās un/vai mirgošana;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3.2.2.4. aizdomas par pārslimotu miokarda infarktu;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3.2.2.5. īsta vai maskēta arteriālā hipertensija;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3.2.3.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ultrasonoskopiju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3.3. Pacientam sniedz šādas rekomendācijas un/vai terapiju: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3.3.1. ja pacientam ir kāds no sirds un asinsvadu slimību riska faktoriem, sniedz rekomendācijas par nepieciešamajām izmaiņām dzīvesveidā: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3.3.1.1. uzturā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3.3.1.2. fiziskās aktivitātes līmenī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3.3.1.3. smēķēšanas paradumos;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3.3.2.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asinsspiediens ir virs 160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(ieskaitot), pacientam uzsāk antihipertensīvo terapiju;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3.3.3.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130 (ieskaitot) līdz 159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80 (ieskaitot) līdz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personai rekomendē veikt paškontroles mērījumus vismaz vienu nedēļu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3.4. Atbilstoši izmeklējumu rezultātiem veic šādas darbības: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3.4.1. ja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virs 3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(ieskaitot), pacientam ar arteriālo hipertensiju apsver zemas–mērenas intensitātes lipīdu līmeni pazeminošu terapiju, pirms kuras uzsākšanas laboratoriski nosaka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alanīnaminotransferāzes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kreatīnfosfokināzes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rādītājus;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3.4.2. ja kopējā holesterīna koncentrācija ir virs 7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(ieskaitot) un/vai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virs 5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(ieskaitot), rekomendē noteikt lipīdu frakcijas pirmās pakāpes radiniekiem neatkarīgi no vecuma;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3.4.3. ja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konstatē iekšējās miega artērijas (</w:t>
            </w:r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carotis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interna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 vai kopējās miega artērijas (</w:t>
            </w:r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carotis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communis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 stenozi: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3.4.3.1. virs 50 %, – nozīmē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antiagregantu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terapiju – aspirīns 75–100 mg reizi dienā ilgstoši;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3.4.3.2. virs 70 %, – pacientu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nosūta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uz asinsvadu ķirurga konsultāciju;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3.4.4. atkārtotu ģimenes ārsta vizīti plāno: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3.4.4.1. 4–6 nedēļu laikā, ja pacientam uzsākta antihipertensīvā un/vai lipīdu līmeni pazeminošā terapija;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3.4.</w:t>
            </w:r>
            <w:hyperlink r:id="rId4" w:anchor="piel4.2" w:history="1">
              <w:r w:rsidRPr="00935DF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lv-LV"/>
                </w:rPr>
                <w:t>4.2</w:t>
              </w:r>
            </w:hyperlink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. triju mēnešu laikā, ja personai rekomendēts veikt paškontroles mērījumus un/vai veikti laboratoriskie izmeklējumi un elektrokardiogramma. Vizītes laikā izvērtē to rezultātus un atkārtoti nosaka sirds un asinsvadu slimību risku, kā arī izvērtē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nepieciešamību atbilstoši šā pielikuma 3.2.2. apakšpunktam;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3.4.4.3. sešu mēnešu laikā, ja veikta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un/vai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Vizītes laikā izvērtē to rezultātus un atkārtoti nosaka sirds un asinsvadu slimību risku;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3.4.5. sirds un asinsvadu slimību riska vērtējumu maina: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3.4.5.1. uz ļoti augstu risku, ja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konstatē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pangu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(asinsvada sieniņas vidējā slāņa (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intima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media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 sabiezējums), kas lielāka par 1,5 mm, vai stenozi;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3.4.5.2. uz augstu risku, ja konstatē augsta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koncentrāciju (vīrietim zem 1,0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/L, sievietei zem1,2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/L)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triglicerīdu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koncentrāciju virs 2,3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/L, vai tukšās dūšas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hiperglikēmiju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vai ķermeņa masas indeksu virs 30 kg/m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lv-LV"/>
              </w:rPr>
              <w:t>2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(ieskaitot), vai vidukļa apkārtmēru vīrietim virs 102 cm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vai sievietei virs 88 cm (ieskaitot);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3.4.6. pacientu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nosūta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uz kardiologa konsultāciju, ja: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3.4.6.1. elektrokardiogrammā ir konstatēta vismaz viena no šādām izmaiņām – pirmreizēja priekškambaru plandīšanās un/vai mirgošana, pārslimots miokarda infarkts ar Q zobu;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3.4.6.2.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ir konstatēta vismaz viena no šādām izmaiņām – sirds kreisā kambara hipertrofija (lielāka par 15 mm),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ventrikulāras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ekstrasistoles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pirmreizēja priekškambaru plandīšanās un/vai mirgošana, sirds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izsviedes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frakcija ir mazāka par 50 %, mērena vai smaga vārstuļu stenoze, trešās vai ceturtās pakāpes vārstuļu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regurgitācija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hipokinēzijas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akinēzijas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labā kambara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spiediens ir lielāks par 50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3.4.6.3. vismaz divās dažādās vizītēs neatkarīgi no terapijas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180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110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</w:p>
        </w:tc>
      </w:tr>
      <w:tr w:rsidR="00935DF5" w:rsidRPr="00935DF5" w:rsidTr="00935DF5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4. Augsts risks (SCORE 5–9 % un/vai kopējais holesterīns &gt; 7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vai agrīna (līdz 50 gadu vecumam) KVS ģimenē)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4.1.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4.1.1. asins bioķīmisko analīzi un izvērtē, vai nav izmainīti šādi rādītāji: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4.1.1.1. lipīdu frakcijas (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triglicerīdi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augsta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lietojot tiešo metodi);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4.1.1.2.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kreatinīns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no tā aprēķināmais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glomerulu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filtrācijas ātrums;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4.1.1.3. glikozes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glikozētā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hemoglobīna līmenis, ja tukšās dūšas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glikēmija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bija noteikta virs 6,1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(ieskaitot)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4.2.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4.2.1. elektrokardiogrammu;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4.2.2.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ja sirds auskultācijā izklausa trokšņus un/vai ja elektrokardiogrammā ir konstatēta viena no šādām izmaiņām: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4.2.2.1. sirds kreisā kambara hipertrofija;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4.2.2.2.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ventrikulāras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ekstrasistoles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4.2.2.3. pirmreizēja priekškambaru plandīšanās un/vai mirgošana;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4.2.2.4. aizdomas par pārslimotu miokarda infarktu;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4.2.2.5. īsta vai maskēta arteriālā hipertensija;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4.2.3.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ultrasonoskopiju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4.3. Pacientam sniedz šādas rekomendācijas un/vai terapiju: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4.3.1. ja ir kāds no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kardiovaskulārā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riska faktoriem, sniedz rekomendācijas par nepieciešamajām izmaiņām dzīvesveidā: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4.3.1.1. uzturā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4.3.1.2. fiziskās aktivitātes līmenī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4.3.1.3. smēķēšanas paradumos;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4.3.2.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160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(ieskaitot), pacientam uzsāk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antihipertensīvo terapiju;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4.3.3.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130 (ieskaitot) līdz 159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80 (ieskaitot) līdz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personai rekomendē veikt paškontroles mērījumus vismaz vienu nedēļu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4.4. Atbilstoši izmeklējumu rezultātiem veic šādas darbības: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4.4.1. ja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virs 2,6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(ieskaitot), pacientam ar arteriālo hipertensiju apsver mērenas–augstas intensitātes lipīdu līmeni pazeminošu terapiju, pirms kuras uzsākšanas laboratoriski nosaka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alanīnaminotransferāzes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kreatīnfosfokināzes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rādītājus;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4.4.2. ja kopējā holesterīna koncentrācija ir virs 7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(ieskaitot) un/vai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virs 5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(ieskaitot), rekomendē noteikt lipīdu frakcijas pirmās pakāpes radiniekiem neatkarīgi no vecuma;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4.4.3. ja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konstatē iekšējās miega artērijas (</w:t>
            </w:r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carotis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interna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) vai kopējās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miega artērijas (</w:t>
            </w:r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carotis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communis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 stenozi: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4.4.3.1. virs 50 %, – nozīmē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antiagregantu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terapiju – aspirīns 75–100 mg reizi dienā ilgstoši;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4.4.3.2. virs 70 %, – pacientu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nosūta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uz asinsvadu ķirurga konsultāciju;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4.4.4. atkārtotu ģimenes ārsta vizīti plāno: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4.4.4.1. 4–6 nedēļu laikā, ja pacientam uzsākta antihipertensīvā un/vai lipīdu līmeni pazeminošā terapija;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4.4.4.2. mēneša laikā, ja personai rekomendēts veikt paškontroles mērījumus un/vai veikti laboratoriskie izmeklējumi un elektrokardiogramma. Vizītes laikā izvērtē to rezultātus un atkārtoti nosaka sirds un asinsvadu slimību risku, kā arī izvērtē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nepieciešamību atbilstoši šā pielikuma 4.2.2. apakšpunktam;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4.4.4.3. triju mēnešu laikā, ja veikta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un/vai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Vizītes laikā izvērtē to rezultātus un atkārtoti nosaka sirds un asinsvadu slimību risku;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4.4.5. sirds un asinsvadu slimību riska vērtējumu maina uz ļoti augstu risku, ja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konstatē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pangu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(asinsvada sieniņas vidējā slāņa (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intima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media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 sabiezējums), kas lielāka par 1,5 mm, vai stenozi;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4.4.6. pacientu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nosūta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uz kardiologa konsultāciju, ja: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4.4.6.1. elektrokardiogrammā ir konstatēta vismaz viena no šādām izmaiņām – pirmreizēja priekškambaru plandīšanās un/vai mirgošana, pārslimots miokarda infarkts ar Q zobu;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4.4.6.2.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ir konstatēta vismaz viena no šādām izmaiņām – sirds kreisā kambara hipertrofija (lielāka par 15 mm),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ventrikulāras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ekstrasistoles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pirmreizēja priekškambaru plandīšanās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un/vai mirgošana, sirds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izsviedes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frakcija ir mazāka par 50 %, mērena vai smaga vārstuļu stenoze, trešās vai ceturtās pakāpes vārstuļu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regurgitācija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hipokinēzijas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akinēzijas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labā kambara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spiediens ir lielāks par 50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4.4.6.3. vismaz divās dažādās vizītēs neatkarīgi no terapijas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180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110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</w:p>
        </w:tc>
      </w:tr>
      <w:tr w:rsidR="00935DF5" w:rsidRPr="00935DF5" w:rsidTr="00935DF5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5. Ļoti augsts risks (SCORE 10 % un vairāk)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5.1.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5.1.1. asins bioķīmisko analīzi un izvērtē, vai nav izmainīti šādi rādītāji: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5.1.1.1. lipīdu frakcijas (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triglicerīdi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augsta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lietojot tiešo metodi);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5.1.1.2.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kreatinīns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no tā aprēķināmais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glomerulu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filtrācijas ātrums;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5.1.1.3. glikozes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glikozētā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hemoglobīna līmenis, ja tukšās dūšas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glikēmija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bija noteikta virs 6,1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(ieskaitot)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5.2.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5.2.1. elektrokardiogrammu;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5.2.2.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ja sirds auskultācijā izklausa trokšņus un/vai ja elektrokardiogrammā ir konstatēta viena no šādām izmaiņām: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5.2.2.1. sirds kreisā kambara hipertrofija;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5.2.2.2.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ventrikulāras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ekstrasistoles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5.2.2.3. pirmreizēja priekškambaru plandīšanās un/vai mirgošana;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5.2.2.4. aizdomas par pārslimotu miokarda infarktu;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5.2.2.5. īsta vai maskēta arteriālā hipertensija;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5.2.3.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5.2.4.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veloergometriju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5.3. Pacientam sniedz šādas rekomendācijas un/vai terapiju: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5.3.1. ja ir kāds no sirds un asinsvadu slimību riska faktoriem, sniedz rekomendācijas par nepieciešamajām izmaiņām dzīvesveidā: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5.3.1.1. uzturā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5.3.1.2. fiziskās aktivitātes līmenī un/vai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5.3.1.3. smēķēšanas paradumos;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5.3.2.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160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(ieskaitot), pacientam uzsāk antihipertensīvo terapiju;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5.3.3. ja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130 (ieskaitot) līdz 159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un/vai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no 80 (ieskaitot) līdz 100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personai rekomendē veikt paškontroles mērījumus vismaz vienu nedēļu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 Atbilstoši izmeklējumu rezultātiem veic šādas darbības: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5.4.1. ja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virs 1,8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(ieskaitot), pacientam ar arteriālo hipertensiju apsver augstas intensitātes lipīdu līmeni pazeminošu terapiju, pirms kuras uzsākšanas laboratoriski nosaka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alanīnaminotransferāzes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kreatīnfosfokināzes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rādītājus;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5.4.2. ja kopējā holesterīna koncentrācija ir virs 7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(ieskaitot) un/vai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virs 5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(ieskaitot), rekomendē noteikt lipīdu frakcijas pirmās pakāpes radiniekiem neatkarīgi no vecuma;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5.4.3. ja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konstatē iekšējās miega artērijas (</w:t>
            </w:r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carotis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interna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 vai kopējās miega artērijas (</w:t>
            </w:r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carotis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communis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 stenozi: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5.4.3.1. virs 50 %, – nozīmē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antiagregantu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terapiju – aspirīns 75–100 mg reizi dienā ilgstoši;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5.4.3.2. virs 70 %, – pacientu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nosūta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uz asinsvadu ķirurga konsultāciju;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5.4.4. atkārtotu ģimenes ārsta vizīti plāno: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5.4.4.1. 4–6 nedēļu laikā, ja pacientam uzsākta antihipertensīvā un/vai lipīdu līmeni pazeminošā terapija;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5.4.4.2. mēneša laikā, ja personai rekomendēts veikt paškontroles mērījumus un/vai veikti laboratoriskie izmeklējumi un elektrokardiogramma. Vizītes laikā izvērtē izmeklējumu rezultātus un atkārtoti nosaka sirds un asinsvadu slimību risku, kā arī izvērtē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nepieciešamību atbilstoši šā pielikuma 5.2.2. apakšpunktam;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5.4.4.3. triju mēnešu laikā, ja veikta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un/vai miega artēriju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ultrasonoskopija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un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veloergometrija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Vizītes laikā izvērtē to rezultātus un atkārtoti nosaka sirds un asinsvadu slimību risku;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5.4.5. pacientu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nosūta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uz kardiologa konsultāciju, ja: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5.4.5.1. elektrokardiogrammā ir konstatēta vismaz viena no šādām izmaiņām – pirmreizēja priekškambaru plandīšanās un/vai mirgošana, pārslimots miokarda infarkts ar Q zobu;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5.4.5.2.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ehokardiogrāfijā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ir konstatēta vismaz viena no šādām izmaiņām – sirds kreisā kambara hipertrofija (lielāka par 15 mm),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ventrikulāras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ekstrasistoles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pirmreizēja priekškambaru plandīšanās un/vai mirgošana, sirds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izsviedes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frakcija ir mazāka par 50 %, mērena vai smaga vārstuļu stenoze, trešās vai ceturtās pakāpes vārstuļu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regurgitācija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hipokinēzijas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akinēzijas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labā kambara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spiediens ir lielāks par 50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(ieskaitot);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5.4.5.3. vismaz divās dažādās vizītēs neatkarīgi no terapijas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180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110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5.4.5.4.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veloergometrijā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konstatēta inducēta išēmija vai tās ekvivalents</w:t>
            </w:r>
          </w:p>
        </w:tc>
      </w:tr>
    </w:tbl>
    <w:p w:rsidR="00935DF5" w:rsidRPr="00935DF5" w:rsidRDefault="00935DF5" w:rsidP="00935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35DF5">
        <w:rPr>
          <w:rFonts w:ascii="Times New Roman" w:eastAsia="Times New Roman" w:hAnsi="Times New Roman" w:cs="Times New Roman"/>
          <w:sz w:val="18"/>
          <w:szCs w:val="18"/>
          <w:lang w:eastAsia="lv-LV"/>
        </w:rPr>
        <w:lastRenderedPageBreak/>
        <w:t xml:space="preserve">Piezīme. * Pēc pacienta sirds un asinsvadu slimību riska novērtējuma atbilstoši SCORE metodei ģimenes ārsts veic izmeklējumu ģimenes ārsta praksē vai </w:t>
      </w:r>
      <w:proofErr w:type="spellStart"/>
      <w:r w:rsidRPr="00935DF5">
        <w:rPr>
          <w:rFonts w:ascii="Times New Roman" w:eastAsia="Times New Roman" w:hAnsi="Times New Roman" w:cs="Times New Roman"/>
          <w:sz w:val="18"/>
          <w:szCs w:val="18"/>
          <w:lang w:eastAsia="lv-LV"/>
        </w:rPr>
        <w:t>nosūta</w:t>
      </w:r>
      <w:proofErr w:type="spellEnd"/>
      <w:r w:rsidRPr="00935DF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pacientu sekundārā ambulatorā veselības aprūpes pakalpojuma saņemšanai citā ārstniecības iestādē, nosūtījumā norādot diagnozes kodu Z03.5 un pacienta riska vērtējumu.</w:t>
      </w:r>
    </w:p>
    <w:p w:rsidR="00005CE0" w:rsidRDefault="00005CE0" w:rsidP="00935DF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</w:pPr>
      <w:bookmarkStart w:id="7" w:name="piel2"/>
      <w:bookmarkEnd w:id="7"/>
    </w:p>
    <w:p w:rsidR="00005CE0" w:rsidRDefault="00005CE0" w:rsidP="00935DF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</w:pPr>
    </w:p>
    <w:p w:rsidR="00935DF5" w:rsidRPr="00935DF5" w:rsidRDefault="00935DF5" w:rsidP="00935DF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</w:pPr>
      <w:r w:rsidRPr="00935DF5"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  <w:lastRenderedPageBreak/>
        <w:t>2. pielikums</w:t>
      </w:r>
      <w:bookmarkStart w:id="8" w:name="piel-663261"/>
      <w:bookmarkEnd w:id="8"/>
    </w:p>
    <w:p w:rsidR="00935DF5" w:rsidRPr="00293438" w:rsidRDefault="00935DF5" w:rsidP="00935DF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</w:pPr>
      <w:bookmarkStart w:id="9" w:name="663262"/>
      <w:bookmarkStart w:id="10" w:name="n-663262"/>
      <w:bookmarkEnd w:id="9"/>
      <w:bookmarkEnd w:id="10"/>
      <w:r w:rsidRPr="00935DF5">
        <w:rPr>
          <w:rFonts w:ascii="Times New Roman" w:eastAsia="Times New Roman" w:hAnsi="Times New Roman" w:cs="Times New Roman"/>
          <w:b/>
          <w:sz w:val="18"/>
          <w:szCs w:val="18"/>
          <w:lang w:eastAsia="lv-LV"/>
        </w:rPr>
        <w:t>Veselības stāvokļa uzraudzība sirds un asinsvadu slimību profilaksei</w:t>
      </w:r>
    </w:p>
    <w:p w:rsidR="00293438" w:rsidRDefault="00293438" w:rsidP="00935D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:rsidR="00293438" w:rsidRPr="00935DF5" w:rsidRDefault="00293438" w:rsidP="00935D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5"/>
        <w:gridCol w:w="2357"/>
        <w:gridCol w:w="2845"/>
        <w:gridCol w:w="1803"/>
      </w:tblGrid>
      <w:tr w:rsidR="00935DF5" w:rsidRPr="00935DF5" w:rsidTr="00935DF5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Riska grupa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Atkārtoti izmeklējumi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Terapija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DF5" w:rsidRPr="00935DF5" w:rsidRDefault="00935DF5" w:rsidP="00935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Atkārtotas vizītes</w:t>
            </w:r>
          </w:p>
        </w:tc>
      </w:tr>
      <w:tr w:rsidR="00935DF5" w:rsidRPr="00935DF5" w:rsidTr="00935DF5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 Sirds un asinsvadu slimību riska vērtējums (SCORE) – mazāk par 1 %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1.1.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1.1.1. asinsspiediena mērījumi – reizi gadā profilaktiskajā apskatē pie ģimenes ārsta;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1.1.2. kopējais holesterīns un glikoze – reizi piecos gados;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1.1.3. ja paaugstināts asinsspiediens un nav uzsākta terapija, – regulāra paškontrole vai ambulatora asinsspiediena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monitorēšana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3–6 mēnešu laikā;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1.1.4. ja paaugstināts asinsspiediens un ir uzsākta terapija, – regulāra paškontrole 4–8 nedēļu laikā vai, ja tas nav iespējams, ambulatora asinsspiediena novērošana no 4 līdz 8 nedēļām ārstniecības iestādē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1.2. Ja terapijas mērķis nav sasniegts, veic šādas izmaiņas antihipertensīvajā terapijā: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1.2.1. pārskata nozīmēto terapiju;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1.2.2. ja terapija nav uzsākta, atkārtoti izvērtē sirds un asinsvadu slimību risku un izvērtē indikācijas antihipertensīvās terapijas uzsākšanai;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1.2.3. nozīmē kardiologa konsultāciju, ja tiek konstatēta 3. pakāpes arteriāla hipertensija (vismaz divās dažādās vizītēs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180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110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) vai ir aizdomas par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rezistentu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hipertensiju (triju mēnešu laikā nav izdevies sasniegt terapijas mērķi ar vismaz trim pirmās rindas antihipertensīviem līdzekļiem, no kuriem vismaz viens ir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diurētiķis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), vai ir aizdomas par sekundāru hipertensiju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1.3. Ja terapijas mērķis: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1.3.1. ir sasniegts, atkārtotu vizīti plāno un antihipertensīvo terapiju izvērtē reizi gadā;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1.3.2. nav sasniegts, atkārtotu vizīti plāno un antihipertensīvo terapiju izvērtē pēc 4–8 nedēļām</w:t>
            </w:r>
          </w:p>
        </w:tc>
      </w:tr>
      <w:tr w:rsidR="00935DF5" w:rsidRPr="00935DF5" w:rsidTr="00935DF5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 Sirds un asinsvadu slimību riska vērtējums (SCORE) 1 % un vairāk un/vai kopējais holesterīns virs 7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/L, vai agrīna (līdz 50 gadu vecumam)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kardiovaskulārā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saslimšana ģimenē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 Veic šādus izmeklējumus: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2.1.1. ja terapijas mērķis sasniegts, lietojot lipīdu līmeni pazeminošo terapiju, reizi gadā veic asins bioķīmisko analīzi un atkārtoti izvērtē: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2.1.1.1. lipīdu frakcijas (kopējais holesterīns,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triglicerīdi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augsta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2.1.1.2.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alanīnaminotransferāzi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2.1.1.3.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kreatīnfosfokināzi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2.1.2. ja terapijas mērķis sasniegts, lietojot antihipertensīvo terapiju, reizi gadā veic asinsspiediena mērījumus un rekomendē pacientam veikt regulāru paškontroli viena gada laikā;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2.1.3. ja terapijas mērķis nav sasniegts, lietojot lipīdu līmeni pazeminošu terapiju, pēc 4–8 </w:t>
            </w: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nedēļām veic asins bioķīmisko analīzi un atkārtoti izvērtē: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2.1.3.1. lipīdu frakcijas (kopējais holesterīns,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triglicerīdi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augsta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2.1.3.2.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alanīnaminotransferāzi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2.1.3.3.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kreatīnfosfokināzi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2.1.4. ja terapijas mērķis nav sasniegts, lietojot antihipertensīvo terapiju, veic regulāru paškontroli 4–8 nedēļu laikā vai, ja tas nav iespējams, veic ambulatoru asinsspiediena novērošanu no 4 līdz 8 nedēļām ārstniecības iestādē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2.2. Ja terapijas mērķis nav sasniegts, veic šādas izmaiņas terapijā: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2.2.1. ja lietota lipīdu līmeni pazeminoša terapija, palielina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statīna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devu vai nozīmē kardiologa konsultāciju, ja, palielinot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statīna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devu, netiek sasniegts terapijas primārais mērķis (zema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zemāka par 3,0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pie SCORE 1–4 % vai ir zemāka par 2,6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pie SCORE 5–9 %, vai ir zemāka par 1,8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pie SCORE 10 % un vairāk) vai sekundārais mērķis (ne augsta blīvuma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lipoproteīnu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koncentrācija ir zemāka par 3,8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pie SCORE 1–4 % vai zemāka par 3,4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/L pie SCORE 5–9 %, vai zemāka par 2,6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mmol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/L pie SCORE 10 % un vairāk);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2.2.2. ja lietota antihipertensīvā terapija, pārskata nozīmēto ārstēšanu vai nozīmē kardiologa konsultāciju, ja tiek konstatēta 3. pakāpes arteriāla hipertensija (vismaz divās dažādās vizītēs pacienta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sistoliskais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180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diastoliskais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asinsspiediens ir virs 110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mmHg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) vai ir aizdomas par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rezistentu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hipertensiju (triju mēnešu laikā nav izdevies sasniegt terapijas mērķi ar vismaz trim pirmās rindas antihipertensīviem līdzekļiem, no kuriem vismaz viens ir </w:t>
            </w:r>
            <w:proofErr w:type="spellStart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diurētiķis</w:t>
            </w:r>
            <w:proofErr w:type="spellEnd"/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), vai ir aizdomas par sekundāru hipertensiju;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2.2.3. ja terapija nav uzsākta, atkārtoti izvērtē sirds un asinsvadu slimību risku un izvērtē indikācijas lipīdu līmeni pazeminošas un/vai antihipertensīvās terapijas uzsākšanai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2.3. Ja terapijas mērķis: 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2.3.1. ir sasniegts, atkārtotu vizīti plāno: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2.3.1.1. ja lietota lipīdu līmeni pazeminoša terapija, – reizi gadā;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2.3.1.2. ja lietota antihipertensīvā terapija, – divas reizes gadā pirmajā gadā un pēc tam reizi gadā;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2.3.2. nav sasniegts, atkārtotu vizīti plāno: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2.3.2.1. ja lietota lipīdu līmeni pazeminoša terapija, – pēc 4–8 nedēļām;</w:t>
            </w:r>
          </w:p>
          <w:p w:rsidR="00935DF5" w:rsidRPr="00935DF5" w:rsidRDefault="00935DF5" w:rsidP="00935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35DF5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2.3.2.2. ja lietota antihipertensīvā terapija, – pēc 4–8 nedēļām</w:t>
            </w:r>
          </w:p>
        </w:tc>
      </w:tr>
    </w:tbl>
    <w:p w:rsidR="00293438" w:rsidRDefault="00293438" w:rsidP="00935D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bookmarkStart w:id="11" w:name="piel3"/>
      <w:bookmarkEnd w:id="11"/>
    </w:p>
    <w:p w:rsidR="00293438" w:rsidRDefault="00293438" w:rsidP="00935D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:rsidR="00293438" w:rsidRDefault="00293438" w:rsidP="00935D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sectPr w:rsidR="002934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55"/>
    <w:rsid w:val="00005CE0"/>
    <w:rsid w:val="000712C7"/>
    <w:rsid w:val="00262A28"/>
    <w:rsid w:val="00293438"/>
    <w:rsid w:val="00294F17"/>
    <w:rsid w:val="004804E4"/>
    <w:rsid w:val="008B7350"/>
    <w:rsid w:val="00910555"/>
    <w:rsid w:val="00935DF5"/>
    <w:rsid w:val="00C63EE9"/>
    <w:rsid w:val="00F1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CCC604-D303-40E9-8CDF-646E3B18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5DF5"/>
    <w:rPr>
      <w:color w:val="0000FF"/>
      <w:u w:val="single"/>
    </w:rPr>
  </w:style>
  <w:style w:type="paragraph" w:customStyle="1" w:styleId="tv213">
    <w:name w:val="tv213"/>
    <w:basedOn w:val="Normal"/>
    <w:rsid w:val="0093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93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300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15625</Words>
  <Characters>8907</Characters>
  <Application>Microsoft Office Word</Application>
  <DocSecurity>0</DocSecurity>
  <Lines>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Bērziņa</dc:creator>
  <cp:keywords/>
  <dc:description/>
  <cp:lastModifiedBy>Inga Inkina</cp:lastModifiedBy>
  <cp:revision>2</cp:revision>
  <cp:lastPrinted>2018-08-16T12:12:00Z</cp:lastPrinted>
  <dcterms:created xsi:type="dcterms:W3CDTF">2018-08-31T10:27:00Z</dcterms:created>
  <dcterms:modified xsi:type="dcterms:W3CDTF">2018-08-31T10:27:00Z</dcterms:modified>
</cp:coreProperties>
</file>