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A934" w14:textId="370C66D4" w:rsidR="00CA2B69" w:rsidRDefault="00EC0516" w:rsidP="00D0735F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07C9BE10" wp14:editId="618D1253">
            <wp:extent cx="1410271" cy="951756"/>
            <wp:effectExtent l="0" t="0" r="0" b="127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8570" cy="964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1B5B2" w14:textId="1F15698C" w:rsidR="00383A11" w:rsidRDefault="00383A11" w:rsidP="00D0735F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37EF282" wp14:editId="136B25C1">
            <wp:extent cx="5511800" cy="7232650"/>
            <wp:effectExtent l="0" t="0" r="12700" b="635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502B69CB-854E-40F5-BCD3-A28DF902290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EF27C39" w14:textId="77777777" w:rsidR="00D0735F" w:rsidRDefault="00297E7A" w:rsidP="00D0735F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833B48">
        <w:rPr>
          <w:rFonts w:ascii="Times New Roman" w:hAnsi="Times New Roman" w:cs="Times New Roman"/>
          <w:sz w:val="24"/>
          <w:szCs w:val="24"/>
        </w:rPr>
        <w:t>Gadījumu skaitu uzņemšanas nodaļā veido stacionāro hospitalizāciju skaits un ambulatoro epizožu skaits uzņemšanas nodaļā (1.-6.epizode)</w:t>
      </w:r>
    </w:p>
    <w:p w14:paraId="779466E1" w14:textId="3035CDB4" w:rsidR="00DE107C" w:rsidRDefault="00DE107C" w:rsidP="00D0735F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DE107C">
        <w:rPr>
          <w:rFonts w:ascii="Times New Roman" w:hAnsi="Times New Roman" w:cs="Times New Roman"/>
          <w:sz w:val="24"/>
          <w:szCs w:val="24"/>
        </w:rPr>
        <w:t>Atskaite ietver stacionārās kartes apmaksājamā statusā, ar izrakstīšanas dat</w:t>
      </w:r>
      <w:r>
        <w:rPr>
          <w:rFonts w:ascii="Times New Roman" w:hAnsi="Times New Roman" w:cs="Times New Roman"/>
          <w:sz w:val="24"/>
          <w:szCs w:val="24"/>
        </w:rPr>
        <w:t xml:space="preserve">umu no 1.janvāra līdz </w:t>
      </w:r>
      <w:r w:rsidR="00A77BAD">
        <w:rPr>
          <w:rFonts w:ascii="Times New Roman" w:hAnsi="Times New Roman" w:cs="Times New Roman"/>
          <w:sz w:val="24"/>
          <w:szCs w:val="24"/>
        </w:rPr>
        <w:t>3</w:t>
      </w:r>
      <w:r w:rsidR="00383A11">
        <w:rPr>
          <w:rFonts w:ascii="Times New Roman" w:hAnsi="Times New Roman" w:cs="Times New Roman"/>
          <w:sz w:val="24"/>
          <w:szCs w:val="24"/>
        </w:rPr>
        <w:t>1</w:t>
      </w:r>
      <w:r w:rsidR="009B4C7B">
        <w:rPr>
          <w:rFonts w:ascii="Times New Roman" w:hAnsi="Times New Roman" w:cs="Times New Roman"/>
          <w:sz w:val="24"/>
          <w:szCs w:val="24"/>
        </w:rPr>
        <w:t>.</w:t>
      </w:r>
      <w:r w:rsidR="00383A11">
        <w:rPr>
          <w:rFonts w:ascii="Times New Roman" w:hAnsi="Times New Roman" w:cs="Times New Roman"/>
          <w:sz w:val="24"/>
          <w:szCs w:val="24"/>
        </w:rPr>
        <w:t>decembrim</w:t>
      </w:r>
      <w:r>
        <w:rPr>
          <w:rFonts w:ascii="Times New Roman" w:hAnsi="Times New Roman" w:cs="Times New Roman"/>
          <w:sz w:val="24"/>
          <w:szCs w:val="24"/>
        </w:rPr>
        <w:t xml:space="preserve"> un ambulatoros talonus</w:t>
      </w:r>
      <w:r w:rsidRPr="00DE107C">
        <w:t xml:space="preserve"> </w:t>
      </w:r>
      <w:r w:rsidRPr="00DE107C">
        <w:rPr>
          <w:rFonts w:ascii="Times New Roman" w:hAnsi="Times New Roman" w:cs="Times New Roman"/>
          <w:sz w:val="24"/>
          <w:szCs w:val="24"/>
        </w:rPr>
        <w:t>apmaksājamā statusā,</w:t>
      </w:r>
      <w:r w:rsidR="00D0735F">
        <w:rPr>
          <w:rFonts w:ascii="Times New Roman" w:hAnsi="Times New Roman" w:cs="Times New Roman"/>
          <w:sz w:val="24"/>
          <w:szCs w:val="24"/>
        </w:rPr>
        <w:t xml:space="preserve"> kuriem</w:t>
      </w:r>
      <w:r>
        <w:rPr>
          <w:rFonts w:ascii="Times New Roman" w:hAnsi="Times New Roman" w:cs="Times New Roman"/>
          <w:sz w:val="24"/>
          <w:szCs w:val="24"/>
        </w:rPr>
        <w:t xml:space="preserve"> epizodes sākuma datums </w:t>
      </w:r>
      <w:r w:rsidR="00D0735F">
        <w:rPr>
          <w:rFonts w:ascii="Times New Roman" w:hAnsi="Times New Roman" w:cs="Times New Roman"/>
          <w:sz w:val="24"/>
          <w:szCs w:val="24"/>
        </w:rPr>
        <w:t>uzrādīts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07C">
        <w:rPr>
          <w:rFonts w:ascii="Times New Roman" w:hAnsi="Times New Roman" w:cs="Times New Roman"/>
          <w:sz w:val="24"/>
          <w:szCs w:val="24"/>
        </w:rPr>
        <w:t xml:space="preserve">no 1.janvāra līdz </w:t>
      </w:r>
      <w:r w:rsidR="00CA00CF">
        <w:rPr>
          <w:rFonts w:ascii="Times New Roman" w:hAnsi="Times New Roman" w:cs="Times New Roman"/>
          <w:sz w:val="24"/>
          <w:szCs w:val="24"/>
        </w:rPr>
        <w:t>3</w:t>
      </w:r>
      <w:r w:rsidR="00383A11">
        <w:rPr>
          <w:rFonts w:ascii="Times New Roman" w:hAnsi="Times New Roman" w:cs="Times New Roman"/>
          <w:sz w:val="24"/>
          <w:szCs w:val="24"/>
        </w:rPr>
        <w:t>1</w:t>
      </w:r>
      <w:r w:rsidRPr="00DE107C">
        <w:rPr>
          <w:rFonts w:ascii="Times New Roman" w:hAnsi="Times New Roman" w:cs="Times New Roman"/>
          <w:sz w:val="24"/>
          <w:szCs w:val="24"/>
        </w:rPr>
        <w:t>.</w:t>
      </w:r>
      <w:r w:rsidR="00383A11">
        <w:rPr>
          <w:rFonts w:ascii="Times New Roman" w:hAnsi="Times New Roman" w:cs="Times New Roman"/>
          <w:sz w:val="24"/>
          <w:szCs w:val="24"/>
        </w:rPr>
        <w:t>decembrim</w:t>
      </w:r>
    </w:p>
    <w:p w14:paraId="133BAD38" w14:textId="77777777" w:rsidR="004C6E8E" w:rsidRDefault="004C6E8E" w:rsidP="00D07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Metadati</w:t>
      </w:r>
    </w:p>
    <w:tbl>
      <w:tblPr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665"/>
      </w:tblGrid>
      <w:tr w:rsidR="004C6E8E" w:rsidRPr="004C6E8E" w14:paraId="0886684A" w14:textId="77777777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7370EAF9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Nosaukums</w:t>
            </w:r>
          </w:p>
        </w:tc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4DF3440C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Hospitalizēto pacientu īpatsvars no kopējā uzņemšanas nodaļas pacientu skaita</w:t>
            </w:r>
          </w:p>
        </w:tc>
      </w:tr>
      <w:tr w:rsidR="004C6E8E" w:rsidRPr="004C6E8E" w14:paraId="1F58BCB8" w14:textId="77777777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275B8FE3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Definīcija</w:t>
            </w:r>
          </w:p>
        </w:tc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7EABC95C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Hospitalizāciju skaita īpatsvars no kopējā uzņemšanas nodaļā apkalpoto ambulatoro un stacionāro pacientu skaita</w:t>
            </w:r>
          </w:p>
        </w:tc>
      </w:tr>
      <w:tr w:rsidR="004C6E8E" w:rsidRPr="004C6E8E" w14:paraId="66CE4E21" w14:textId="77777777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2A4CA0B5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Rādītāja klasifikācija </w:t>
            </w:r>
          </w:p>
        </w:tc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58BE0CA1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lang w:eastAsia="lv-LV"/>
              </w:rPr>
              <w:t>Uz personu vērsta aprūpe</w:t>
            </w:r>
            <w:r w:rsidRPr="004C6E8E">
              <w:rPr>
                <w:rFonts w:ascii="Times New Roman" w:eastAsia="Times New Roman" w:hAnsi="Times New Roman" w:cs="Times New Roman"/>
                <w:noProof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lang w:eastAsia="lv-LV"/>
              </w:rPr>
              <w:t>Efektivitāte</w:t>
            </w:r>
            <w:r w:rsidRPr="004C6E8E">
              <w:rPr>
                <w:rFonts w:ascii="Times New Roman" w:eastAsia="Times New Roman" w:hAnsi="Times New Roman" w:cs="Times New Roman"/>
                <w:noProof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lang w:eastAsia="lv-LV"/>
              </w:rPr>
              <w:t>Drošība</w:t>
            </w:r>
            <w:r w:rsidRPr="004C6E8E">
              <w:rPr>
                <w:rFonts w:ascii="Times New Roman" w:eastAsia="Times New Roman" w:hAnsi="Times New Roman" w:cs="Times New Roman"/>
                <w:noProof/>
                <w:lang w:eastAsia="lv-LV"/>
              </w:rPr>
              <w:sym w:font="Wingdings" w:char="F0A8"/>
            </w:r>
          </w:p>
          <w:p w14:paraId="0DF76444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lang w:eastAsia="lv-LV"/>
              </w:rPr>
              <w:t>Labāka veselība un labklājība</w:t>
            </w:r>
            <w:r w:rsidRPr="004C6E8E">
              <w:rPr>
                <w:rFonts w:ascii="Times New Roman" w:eastAsia="Times New Roman" w:hAnsi="Times New Roman" w:cs="Times New Roman"/>
                <w:noProof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lang w:eastAsia="lv-LV"/>
              </w:rPr>
              <w:t>Veselības aprūpes resursi</w:t>
            </w:r>
            <w:r w:rsidRPr="004C6E8E">
              <w:rPr>
                <w:rFonts w:ascii="Times New Roman" w:eastAsia="Times New Roman" w:hAnsi="Times New Roman" w:cs="Times New Roman"/>
                <w:noProof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lang w:eastAsia="lv-LV"/>
              </w:rPr>
              <w:t xml:space="preserve">Pārvaldība, vadība </w:t>
            </w:r>
            <w:r w:rsidRPr="004C6E8E">
              <w:rPr>
                <w:rFonts w:ascii="Times New Roman" w:eastAsia="Times New Roman" w:hAnsi="Times New Roman" w:cs="Times New Roman"/>
                <w:noProof/>
                <w:lang w:eastAsia="lv-LV"/>
              </w:rPr>
              <w:sym w:font="Wingdings" w:char="F0FE"/>
            </w:r>
          </w:p>
        </w:tc>
      </w:tr>
      <w:tr w:rsidR="004C6E8E" w:rsidRPr="004C6E8E" w14:paraId="0A212D5F" w14:textId="77777777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1398487E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Datu avots</w:t>
            </w:r>
          </w:p>
        </w:tc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5421D0F4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t>-Nacionālā veselības dienesta Stacionāro pakalpojumu datu bāze</w:t>
            </w:r>
          </w:p>
          <w:p w14:paraId="305A0FE9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t>-Nacionālā veselības dienesta Ambulatoro pakalpojumu datu bāze</w:t>
            </w:r>
          </w:p>
        </w:tc>
      </w:tr>
      <w:tr w:rsidR="004C6E8E" w:rsidRPr="004C6E8E" w14:paraId="4A21E5A6" w14:textId="77777777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35D6532E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Aprēķins</w:t>
            </w:r>
          </w:p>
        </w:tc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7A41D1FE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t>(Hospitalizāciju skaits /</w:t>
            </w:r>
            <w:r w:rsidRPr="004C6E8E">
              <w:rPr>
                <w:rFonts w:ascii="Times New Roman" w:eastAsia="Calibri" w:hAnsi="Times New Roman" w:cs="Times New Roman"/>
              </w:rPr>
              <w:t xml:space="preserve"> 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t>Uzņemšanas nodaļas gadījumu skaits) *100</w:t>
            </w:r>
          </w:p>
        </w:tc>
      </w:tr>
      <w:tr w:rsidR="004C6E8E" w:rsidRPr="004C6E8E" w14:paraId="4FE74865" w14:textId="77777777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1173EC32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Skaitītājs</w:t>
            </w:r>
          </w:p>
        </w:tc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2738FA4E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Hospitalizāciju skaits</w:t>
            </w:r>
          </w:p>
        </w:tc>
      </w:tr>
      <w:tr w:rsidR="004C6E8E" w:rsidRPr="004C6E8E" w14:paraId="54197B06" w14:textId="77777777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76D11E29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Saucējs</w:t>
            </w:r>
          </w:p>
        </w:tc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4F7EF212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Uzņemšanas nodaļas gadījumu skaits = stacionāro hospitalizāciju skaits + ambulatoro epizožu skaits uzņemšanas nodaļā (1.-6.epizode)</w:t>
            </w:r>
          </w:p>
        </w:tc>
      </w:tr>
      <w:tr w:rsidR="004C6E8E" w:rsidRPr="004C6E8E" w14:paraId="375603A3" w14:textId="77777777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709170E4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Iekļaušanas kritēriji</w:t>
            </w:r>
          </w:p>
        </w:tc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16A4C142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t>- Ambulatorās epizodes uzņemšanas nodaļā (1.-6.epizode)</w:t>
            </w:r>
          </w:p>
          <w:p w14:paraId="4996C024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t>- Visas hospitalizācijas</w:t>
            </w:r>
          </w:p>
        </w:tc>
      </w:tr>
      <w:tr w:rsidR="004C6E8E" w:rsidRPr="004C6E8E" w14:paraId="097B8AF8" w14:textId="77777777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79D666E4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Izslēgšanas kritēriji</w:t>
            </w:r>
          </w:p>
        </w:tc>
        <w:tc>
          <w:tcPr>
            <w:tcW w:w="5665" w:type="dxa"/>
            <w:shd w:val="clear" w:color="auto" w:fill="auto"/>
            <w:noWrap/>
            <w:vAlign w:val="bottom"/>
          </w:tcPr>
          <w:p w14:paraId="31364180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C6E8E" w:rsidRPr="004C6E8E" w14:paraId="708A26EC" w14:textId="77777777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638EF9CC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Datu pilnīgums</w:t>
            </w:r>
          </w:p>
        </w:tc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7F11FFAA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t>100</w:t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</w:t>
            </w:r>
          </w:p>
        </w:tc>
      </w:tr>
      <w:tr w:rsidR="004C6E8E" w:rsidRPr="004C6E8E" w14:paraId="1C561B60" w14:textId="77777777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7F0429D6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Datu apkopošanas biežums </w:t>
            </w:r>
          </w:p>
        </w:tc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5DC5EB8E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Katru dienu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nedēļā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mēnesī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</w:p>
          <w:p w14:paraId="0CEA8752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ceturksnī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FE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pusgadā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gadā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</w:p>
        </w:tc>
      </w:tr>
      <w:tr w:rsidR="004C6E8E" w:rsidRPr="004C6E8E" w14:paraId="636068A2" w14:textId="77777777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2E64E966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lang w:eastAsia="lv-LV"/>
              </w:rPr>
              <w:t>Mērķa grupa</w:t>
            </w:r>
          </w:p>
        </w:tc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705AB862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noProof/>
                <w:lang w:eastAsia="lv-LV"/>
              </w:rPr>
              <w:t>Uzņemšanas nodaļā ārstētie pacienti</w:t>
            </w:r>
          </w:p>
        </w:tc>
      </w:tr>
      <w:tr w:rsidR="004C6E8E" w:rsidRPr="004C6E8E" w14:paraId="07756695" w14:textId="77777777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049AF163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Rādītāja monitorēšanas biežums </w:t>
            </w:r>
          </w:p>
        </w:tc>
        <w:tc>
          <w:tcPr>
            <w:tcW w:w="5665" w:type="dxa"/>
            <w:shd w:val="clear" w:color="auto" w:fill="auto"/>
            <w:noWrap/>
            <w:vAlign w:val="bottom"/>
          </w:tcPr>
          <w:p w14:paraId="472B10F9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Katru dienu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nedēļā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mēnesī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</w:p>
          <w:p w14:paraId="5A36E82A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ceturksnī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FE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pusgadā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gadā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</w:p>
        </w:tc>
      </w:tr>
      <w:tr w:rsidR="004C6E8E" w:rsidRPr="004C6E8E" w14:paraId="3D0E3E01" w14:textId="77777777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3DED1501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Rādītāja ziņošanas biežums </w:t>
            </w:r>
          </w:p>
        </w:tc>
        <w:tc>
          <w:tcPr>
            <w:tcW w:w="5665" w:type="dxa"/>
            <w:shd w:val="clear" w:color="auto" w:fill="auto"/>
            <w:noWrap/>
            <w:vAlign w:val="bottom"/>
          </w:tcPr>
          <w:p w14:paraId="4B4BAE04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Katru dienu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nedēļā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mēnesī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</w:p>
          <w:p w14:paraId="315FA373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ceturksnī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FE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pusgadā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gadā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</w:p>
        </w:tc>
      </w:tr>
      <w:tr w:rsidR="004C6E8E" w:rsidRPr="004C6E8E" w14:paraId="3E691326" w14:textId="77777777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666D9449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Rādītāja aptvere </w:t>
            </w:r>
          </w:p>
        </w:tc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14DEB241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Nacionāla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FE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Reģionāla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Ārstniecības iestāžu līmenī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FE"/>
            </w:r>
          </w:p>
        </w:tc>
      </w:tr>
      <w:tr w:rsidR="004C6E8E" w:rsidRPr="004C6E8E" w14:paraId="7701A0E6" w14:textId="77777777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601060BC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Vieta, kur rādītājs publicēts </w:t>
            </w:r>
          </w:p>
        </w:tc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6F5BF485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NVD mājaslapa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FE"/>
            </w:r>
          </w:p>
          <w:p w14:paraId="35C0858F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SPKC mājaslapa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</w:p>
          <w:p w14:paraId="35D08083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Latvijas veselības aprūpes statistikas gadagrāmata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</w:p>
          <w:p w14:paraId="1ADEF8F5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publiski pieejams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</w:p>
        </w:tc>
      </w:tr>
    </w:tbl>
    <w:p w14:paraId="148685DA" w14:textId="77777777" w:rsidR="004C6E8E" w:rsidRPr="00DE107C" w:rsidRDefault="004C6E8E" w:rsidP="00DE107C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sectPr w:rsidR="004C6E8E" w:rsidRPr="00DE107C" w:rsidSect="00D0735F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513"/>
    <w:rsid w:val="00013840"/>
    <w:rsid w:val="00035555"/>
    <w:rsid w:val="00151D05"/>
    <w:rsid w:val="001B1513"/>
    <w:rsid w:val="001C4F19"/>
    <w:rsid w:val="001D674E"/>
    <w:rsid w:val="00261D3A"/>
    <w:rsid w:val="00297E7A"/>
    <w:rsid w:val="00353DF9"/>
    <w:rsid w:val="00383A11"/>
    <w:rsid w:val="003B2A21"/>
    <w:rsid w:val="003C021D"/>
    <w:rsid w:val="004427BA"/>
    <w:rsid w:val="00463CB7"/>
    <w:rsid w:val="004B080A"/>
    <w:rsid w:val="004C6E8E"/>
    <w:rsid w:val="00504FFC"/>
    <w:rsid w:val="0051437A"/>
    <w:rsid w:val="005867EB"/>
    <w:rsid w:val="00661427"/>
    <w:rsid w:val="006A180F"/>
    <w:rsid w:val="006B003C"/>
    <w:rsid w:val="00833B48"/>
    <w:rsid w:val="0085252C"/>
    <w:rsid w:val="008E315B"/>
    <w:rsid w:val="00912095"/>
    <w:rsid w:val="00964409"/>
    <w:rsid w:val="009700E6"/>
    <w:rsid w:val="009B4C7B"/>
    <w:rsid w:val="009C3E4B"/>
    <w:rsid w:val="00A67367"/>
    <w:rsid w:val="00A77BAD"/>
    <w:rsid w:val="00C707BB"/>
    <w:rsid w:val="00CA00CF"/>
    <w:rsid w:val="00CA2B69"/>
    <w:rsid w:val="00D0735F"/>
    <w:rsid w:val="00D078F0"/>
    <w:rsid w:val="00D10E7E"/>
    <w:rsid w:val="00D11125"/>
    <w:rsid w:val="00D71D6E"/>
    <w:rsid w:val="00D734F6"/>
    <w:rsid w:val="00DE107C"/>
    <w:rsid w:val="00E005F7"/>
    <w:rsid w:val="00E07209"/>
    <w:rsid w:val="00EC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735BC0"/>
  <w15:chartTrackingRefBased/>
  <w15:docId w15:val="{2E8FB8E0-B319-46DA-B876-18790112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3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v-LV" sz="1400" b="0" i="0" u="none" strike="noStrike" baseline="0">
                <a:effectLst/>
              </a:rPr>
              <a:t>Hospitalizēto pacientu skaita īpatsvars no kopējā uzņemšanas nodaļas pacientu skaita % 2021.gadā 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EA8F16"/>
            </a:solidFill>
            <a:ln>
              <a:noFill/>
            </a:ln>
            <a:effectLst/>
          </c:spPr>
          <c:invertIfNegative val="0"/>
          <c:dPt>
            <c:idx val="22"/>
            <c:invertIfNegative val="0"/>
            <c:bubble3D val="0"/>
            <c:spPr>
              <a:solidFill>
                <a:srgbClr val="EE561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5013-420C-B8AE-33110116CF9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ML_OG_G!$C$2:$C$38</c:f>
              <c:strCache>
                <c:ptCount val="37"/>
                <c:pt idx="0">
                  <c:v>Bauskas slimnīca</c:v>
                </c:pt>
                <c:pt idx="1">
                  <c:v>Limbažu slimnīca</c:v>
                </c:pt>
                <c:pt idx="2">
                  <c:v>Aizkraukles slimnīca</c:v>
                </c:pt>
                <c:pt idx="3">
                  <c:v>Rīgas 2. slimnīca</c:v>
                </c:pt>
                <c:pt idx="4">
                  <c:v>Traumatoloģijas un ortopēdijas slimnīca</c:v>
                </c:pt>
                <c:pt idx="5">
                  <c:v>Siguldas slimnīca</c:v>
                </c:pt>
                <c:pt idx="6">
                  <c:v>Tukuma slimnīca</c:v>
                </c:pt>
                <c:pt idx="7">
                  <c:v>Līvānu slimnīca</c:v>
                </c:pt>
                <c:pt idx="8">
                  <c:v>Cēsu klīnika</c:v>
                </c:pt>
                <c:pt idx="9">
                  <c:v>Ludzas medicīnas centrs</c:v>
                </c:pt>
                <c:pt idx="10">
                  <c:v>Ziemeļkurzemes reģionālā slimnīca</c:v>
                </c:pt>
                <c:pt idx="11">
                  <c:v>Alūksnes slimnīca</c:v>
                </c:pt>
                <c:pt idx="12">
                  <c:v>Dobeles un apkārtnes slimnīca</c:v>
                </c:pt>
                <c:pt idx="13">
                  <c:v>Jelgavas pilsētas slimnīca</c:v>
                </c:pt>
                <c:pt idx="14">
                  <c:v>Bērnu klīniskā universitātes slimnīca</c:v>
                </c:pt>
                <c:pt idx="15">
                  <c:v>Kuldīgas slimnīca</c:v>
                </c:pt>
                <c:pt idx="16">
                  <c:v>Balvu un Gulbenes slimnīcu apvienība</c:v>
                </c:pt>
                <c:pt idx="17">
                  <c:v>Ogres rajona slimnīca</c:v>
                </c:pt>
                <c:pt idx="18">
                  <c:v>Jēkabpils reģionālā slimnīca</c:v>
                </c:pt>
                <c:pt idx="19">
                  <c:v>Liepājas reģionālā slimnīca</c:v>
                </c:pt>
                <c:pt idx="20">
                  <c:v>Vidzemes slimnīca</c:v>
                </c:pt>
                <c:pt idx="21">
                  <c:v>Daugavpils reģionālā slimnīca</c:v>
                </c:pt>
                <c:pt idx="22">
                  <c:v>Vidēji</c:v>
                </c:pt>
                <c:pt idx="23">
                  <c:v>Jūrmalas slimnīca</c:v>
                </c:pt>
                <c:pt idx="24">
                  <c:v>Preiļu slimnīca</c:v>
                </c:pt>
                <c:pt idx="25">
                  <c:v>Rēzeknes slimnīca</c:v>
                </c:pt>
                <c:pt idx="26">
                  <c:v>Madonas slimnīca</c:v>
                </c:pt>
                <c:pt idx="27">
                  <c:v>Krāslavas slimnīca</c:v>
                </c:pt>
                <c:pt idx="28">
                  <c:v>Paula Stradiņa klīniskā universitātes slimnīca</c:v>
                </c:pt>
                <c:pt idx="29">
                  <c:v>Rīgas Austrumu klīniskā universitātes slimnīca</c:v>
                </c:pt>
                <c:pt idx="30">
                  <c:v>Rīgas Dzemdību nams</c:v>
                </c:pt>
                <c:pt idx="31">
                  <c:v>Rīgas psihiatrijas un narkoloģijas centrs</c:v>
                </c:pt>
                <c:pt idx="32">
                  <c:v>Slimnīca Ģintermuiža</c:v>
                </c:pt>
                <c:pt idx="33">
                  <c:v>Nacionālais rehabilitācijas centrs "Vaivari"</c:v>
                </c:pt>
                <c:pt idx="34">
                  <c:v>Daugavpils psihoneiroloģiskā slimnīca</c:v>
                </c:pt>
                <c:pt idx="35">
                  <c:v>Piejūras slimnīca</c:v>
                </c:pt>
                <c:pt idx="36">
                  <c:v>Strenču psihoneiroloģiskā slimnīca</c:v>
                </c:pt>
              </c:strCache>
            </c:strRef>
          </c:cat>
          <c:val>
            <c:numRef>
              <c:f>ML_OG_G!$D$2:$D$38</c:f>
              <c:numCache>
                <c:formatCode>0%</c:formatCode>
                <c:ptCount val="37"/>
                <c:pt idx="0">
                  <c:v>0.13309199318568996</c:v>
                </c:pt>
                <c:pt idx="1">
                  <c:v>0.16875784190715182</c:v>
                </c:pt>
                <c:pt idx="2">
                  <c:v>0.17819345311346296</c:v>
                </c:pt>
                <c:pt idx="3">
                  <c:v>0.19024889191953631</c:v>
                </c:pt>
                <c:pt idx="4">
                  <c:v>0.22947260382125376</c:v>
                </c:pt>
                <c:pt idx="5">
                  <c:v>0.27423125337169574</c:v>
                </c:pt>
                <c:pt idx="6">
                  <c:v>0.30185885836486265</c:v>
                </c:pt>
                <c:pt idx="7">
                  <c:v>0.30741626794258375</c:v>
                </c:pt>
                <c:pt idx="8">
                  <c:v>0.32834497284114844</c:v>
                </c:pt>
                <c:pt idx="9">
                  <c:v>0.33558133261397355</c:v>
                </c:pt>
                <c:pt idx="10">
                  <c:v>0.35817173105308697</c:v>
                </c:pt>
                <c:pt idx="11">
                  <c:v>0.37002221842420097</c:v>
                </c:pt>
                <c:pt idx="12">
                  <c:v>0.38344914718888184</c:v>
                </c:pt>
                <c:pt idx="13">
                  <c:v>0.38954811443433029</c:v>
                </c:pt>
                <c:pt idx="14">
                  <c:v>0.39919594997022034</c:v>
                </c:pt>
                <c:pt idx="15">
                  <c:v>0.41656633758728628</c:v>
                </c:pt>
                <c:pt idx="16">
                  <c:v>0.43101659751037347</c:v>
                </c:pt>
                <c:pt idx="17">
                  <c:v>0.44516783630675572</c:v>
                </c:pt>
                <c:pt idx="18">
                  <c:v>0.4509830325882036</c:v>
                </c:pt>
                <c:pt idx="19">
                  <c:v>0.45229885057471264</c:v>
                </c:pt>
                <c:pt idx="20">
                  <c:v>0.47629877369007806</c:v>
                </c:pt>
                <c:pt idx="21">
                  <c:v>0.47958162801273307</c:v>
                </c:pt>
                <c:pt idx="22">
                  <c:v>0.48224886420519109</c:v>
                </c:pt>
                <c:pt idx="23">
                  <c:v>0.48266806722689076</c:v>
                </c:pt>
                <c:pt idx="24">
                  <c:v>0.48301329394386999</c:v>
                </c:pt>
                <c:pt idx="25">
                  <c:v>0.49369831765041344</c:v>
                </c:pt>
                <c:pt idx="26">
                  <c:v>0.50123631225715293</c:v>
                </c:pt>
                <c:pt idx="27">
                  <c:v>0.54770318021201414</c:v>
                </c:pt>
                <c:pt idx="28">
                  <c:v>0.57320426165654714</c:v>
                </c:pt>
                <c:pt idx="29">
                  <c:v>0.60549689961454667</c:v>
                </c:pt>
                <c:pt idx="30">
                  <c:v>0.82798731053930208</c:v>
                </c:pt>
                <c:pt idx="31">
                  <c:v>0.85937726285300509</c:v>
                </c:pt>
                <c:pt idx="32">
                  <c:v>0.91545819191607525</c:v>
                </c:pt>
                <c:pt idx="33">
                  <c:v>0.94196169471851421</c:v>
                </c:pt>
                <c:pt idx="34">
                  <c:v>0.9601906363891225</c:v>
                </c:pt>
                <c:pt idx="35">
                  <c:v>0.97329059829059827</c:v>
                </c:pt>
                <c:pt idx="3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013-420C-B8AE-33110116CF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73244112"/>
        <c:axId val="473240784"/>
      </c:barChart>
      <c:catAx>
        <c:axId val="4732441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3240784"/>
        <c:crosses val="autoZero"/>
        <c:auto val="1"/>
        <c:lblAlgn val="ctr"/>
        <c:lblOffset val="100"/>
        <c:noMultiLvlLbl val="0"/>
      </c:catAx>
      <c:valAx>
        <c:axId val="4732407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3244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3FDBE-DE46-4109-AC02-DE7502F7F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Širova</dc:creator>
  <cp:keywords/>
  <dc:description/>
  <cp:lastModifiedBy>Signe Širova</cp:lastModifiedBy>
  <cp:revision>4</cp:revision>
  <dcterms:created xsi:type="dcterms:W3CDTF">2021-07-22T06:33:00Z</dcterms:created>
  <dcterms:modified xsi:type="dcterms:W3CDTF">2022-04-02T17:56:00Z</dcterms:modified>
</cp:coreProperties>
</file>