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0227CE2B" w:rsidR="002C35F4" w:rsidRDefault="00F50425" w:rsidP="002C35F4">
      <w:pPr>
        <w:spacing w:after="0" w:line="240" w:lineRule="auto"/>
        <w:rPr>
          <w:b/>
          <w:bCs/>
        </w:rPr>
      </w:pPr>
      <w:r>
        <w:rPr>
          <w:b/>
          <w:bCs/>
        </w:rPr>
        <w:t>3</w:t>
      </w:r>
      <w:r w:rsidR="00D32E3D">
        <w:rPr>
          <w:b/>
          <w:bCs/>
        </w:rPr>
        <w:t>1</w:t>
      </w:r>
      <w:r w:rsidR="00D87A54">
        <w:rPr>
          <w:b/>
          <w:bCs/>
        </w:rPr>
        <w:t>.03</w:t>
      </w:r>
      <w:r w:rsidR="00EB64EA">
        <w:rPr>
          <w:b/>
          <w:bCs/>
        </w:rPr>
        <w:t>.2022.</w:t>
      </w:r>
      <w:r w:rsidR="001B1BDA">
        <w:rPr>
          <w:b/>
          <w:bCs/>
        </w:rPr>
        <w:t>(</w:t>
      </w:r>
      <w:r w:rsidR="006A5526">
        <w:rPr>
          <w:b/>
          <w:bCs/>
        </w:rPr>
        <w:t>2</w:t>
      </w:r>
      <w:r w:rsidR="001B1BDA">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E53E189" w14:textId="0DE58D67" w:rsidR="00F50425" w:rsidRDefault="006A5526" w:rsidP="00CF744E">
      <w:pPr>
        <w:spacing w:after="0" w:line="240" w:lineRule="auto"/>
        <w:rPr>
          <w:rFonts w:cstheme="minorHAnsi"/>
        </w:rPr>
      </w:pPr>
      <w:r w:rsidRPr="006A5526">
        <w:rPr>
          <w:rFonts w:cstheme="minorHAnsi"/>
        </w:rPr>
        <w:t>Izmaiņas Covid-19 izmeklējumos no 01.04.2022</w:t>
      </w:r>
    </w:p>
    <w:p w14:paraId="3A6E6795" w14:textId="77777777" w:rsidR="006A5526" w:rsidRDefault="006A5526" w:rsidP="00CF744E">
      <w:pPr>
        <w:spacing w:after="0" w:line="240" w:lineRule="auto"/>
        <w:rPr>
          <w:rFonts w:ascii="Times New Roman" w:hAnsi="Times New Roman" w:cs="Times New Roman"/>
          <w:sz w:val="24"/>
          <w:szCs w:val="24"/>
        </w:rPr>
      </w:pPr>
    </w:p>
    <w:p w14:paraId="4979EB97" w14:textId="7D854FD0"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0667474D" w14:textId="77777777" w:rsidR="006A5526" w:rsidRPr="006A5526" w:rsidRDefault="006A5526" w:rsidP="006A5526">
      <w:pPr>
        <w:ind w:firstLine="720"/>
        <w:jc w:val="both"/>
        <w:rPr>
          <w:rFonts w:cstheme="minorHAnsi"/>
        </w:rPr>
      </w:pPr>
      <w:r w:rsidRPr="006A5526">
        <w:rPr>
          <w:rFonts w:cstheme="minorHAnsi"/>
        </w:rPr>
        <w:t>Nacionālais veselības dienests (turpmāk tekstā – Dienests) informē, ka no 01.04.2022. Covid-19 diagnostiskos izmeklējumus būs iespējams veikt tikai ar ātrajiem SARS-CoV-2 antigēna testiem (turpmāk tekstā – AG tests).</w:t>
      </w:r>
    </w:p>
    <w:p w14:paraId="4327065A" w14:textId="77777777" w:rsidR="006A5526" w:rsidRPr="006A5526" w:rsidRDefault="006A5526" w:rsidP="006A5526">
      <w:pPr>
        <w:ind w:firstLine="720"/>
        <w:jc w:val="both"/>
        <w:rPr>
          <w:rFonts w:cstheme="minorHAnsi"/>
        </w:rPr>
      </w:pPr>
      <w:r w:rsidRPr="006A5526">
        <w:rPr>
          <w:rFonts w:cstheme="minorHAnsi"/>
        </w:rPr>
        <w:t xml:space="preserve">AG testa rezultāts nav  jāapstiprina ar SARS-CoV-2 RNS reālā laika PĶR izmeklējumu. </w:t>
      </w:r>
    </w:p>
    <w:p w14:paraId="4B2B7912" w14:textId="77777777" w:rsidR="006A5526" w:rsidRPr="006A5526" w:rsidRDefault="006A5526" w:rsidP="006A5526">
      <w:pPr>
        <w:rPr>
          <w:rFonts w:cstheme="minorHAnsi"/>
        </w:rPr>
      </w:pPr>
      <w:r w:rsidRPr="006A5526">
        <w:rPr>
          <w:rFonts w:cstheme="minorHAnsi"/>
        </w:rPr>
        <w:t>Ārstniecības iestāde:</w:t>
      </w:r>
    </w:p>
    <w:p w14:paraId="5DD0813A" w14:textId="77777777" w:rsidR="006A5526" w:rsidRPr="006A5526" w:rsidRDefault="006A5526" w:rsidP="006A5526">
      <w:pPr>
        <w:pStyle w:val="ListParagraph"/>
        <w:numPr>
          <w:ilvl w:val="0"/>
          <w:numId w:val="22"/>
        </w:numPr>
        <w:rPr>
          <w:rFonts w:asciiTheme="minorHAnsi" w:eastAsia="Times New Roman" w:hAnsiTheme="minorHAnsi" w:cstheme="minorHAnsi"/>
        </w:rPr>
      </w:pPr>
      <w:r w:rsidRPr="006A5526">
        <w:rPr>
          <w:rFonts w:asciiTheme="minorHAnsi" w:eastAsia="Times New Roman" w:hAnsiTheme="minorHAnsi" w:cstheme="minorHAnsi"/>
        </w:rPr>
        <w:t xml:space="preserve">var pieteikties antigēna testu veikšanai pacientiem Dienesta Rīgas nodaļā </w:t>
      </w:r>
      <w:hyperlink r:id="rId5" w:history="1">
        <w:r w:rsidRPr="006A5526">
          <w:rPr>
            <w:rStyle w:val="Hyperlink"/>
            <w:rFonts w:asciiTheme="minorHAnsi" w:eastAsia="Times New Roman" w:hAnsiTheme="minorHAnsi" w:cstheme="minorHAnsi"/>
          </w:rPr>
          <w:t>riga@vmnvd.gov.lv</w:t>
        </w:r>
      </w:hyperlink>
      <w:r w:rsidRPr="006A5526">
        <w:rPr>
          <w:rFonts w:asciiTheme="minorHAnsi" w:eastAsia="Times New Roman" w:hAnsiTheme="minorHAnsi" w:cstheme="minorHAnsi"/>
        </w:rPr>
        <w:t>;</w:t>
      </w:r>
    </w:p>
    <w:p w14:paraId="22FA782C" w14:textId="77777777" w:rsidR="006A5526" w:rsidRPr="006A5526" w:rsidRDefault="006A5526" w:rsidP="006A5526">
      <w:pPr>
        <w:pStyle w:val="ListParagraph"/>
        <w:numPr>
          <w:ilvl w:val="0"/>
          <w:numId w:val="22"/>
        </w:numPr>
        <w:rPr>
          <w:rFonts w:asciiTheme="minorHAnsi" w:eastAsia="Times New Roman" w:hAnsiTheme="minorHAnsi" w:cstheme="minorHAnsi"/>
        </w:rPr>
      </w:pPr>
      <w:r w:rsidRPr="006A5526">
        <w:rPr>
          <w:rFonts w:asciiTheme="minorHAnsi" w:eastAsia="Times New Roman" w:hAnsiTheme="minorHAnsi" w:cstheme="minorHAnsi"/>
        </w:rPr>
        <w:t>pacientu testēšanai veic AG testu iegādi par saviem līdzekļiem,</w:t>
      </w:r>
    </w:p>
    <w:p w14:paraId="7DE0EB40" w14:textId="77777777" w:rsidR="006A5526" w:rsidRPr="006A5526" w:rsidRDefault="006A5526" w:rsidP="006A5526">
      <w:pPr>
        <w:pStyle w:val="ListParagraph"/>
        <w:numPr>
          <w:ilvl w:val="0"/>
          <w:numId w:val="22"/>
        </w:numPr>
        <w:rPr>
          <w:rFonts w:asciiTheme="minorHAnsi" w:eastAsia="Times New Roman" w:hAnsiTheme="minorHAnsi" w:cstheme="minorHAnsi"/>
        </w:rPr>
      </w:pPr>
      <w:r w:rsidRPr="006A5526">
        <w:rPr>
          <w:rFonts w:asciiTheme="minorHAnsi" w:eastAsia="Times New Roman" w:hAnsiTheme="minorHAnsi" w:cstheme="minorHAnsi"/>
        </w:rPr>
        <w:t>veic testēšanu atbilstoši Dienesta  izstrādātājai AG testu veikšanas kārtībai (skat. e-pasta pielikumā),</w:t>
      </w:r>
    </w:p>
    <w:p w14:paraId="38ADEA17" w14:textId="77777777" w:rsidR="006A5526" w:rsidRPr="006A5526" w:rsidRDefault="006A5526" w:rsidP="006A5526">
      <w:pPr>
        <w:pStyle w:val="ListParagraph"/>
        <w:numPr>
          <w:ilvl w:val="0"/>
          <w:numId w:val="22"/>
        </w:numPr>
        <w:rPr>
          <w:rFonts w:asciiTheme="minorHAnsi" w:eastAsia="Times New Roman" w:hAnsiTheme="minorHAnsi" w:cstheme="minorHAnsi"/>
        </w:rPr>
      </w:pPr>
      <w:r w:rsidRPr="006A5526">
        <w:rPr>
          <w:rFonts w:asciiTheme="minorHAnsi" w:eastAsia="Times New Roman" w:hAnsiTheme="minorHAnsi" w:cstheme="minorHAnsi"/>
        </w:rPr>
        <w:t>lieto zemāk uzskaitītas AG testu manipulācijas no 01.04.2022.</w:t>
      </w:r>
    </w:p>
    <w:p w14:paraId="02FA474E" w14:textId="77777777" w:rsidR="006A5526" w:rsidRPr="006A5526" w:rsidRDefault="006A5526" w:rsidP="006A5526">
      <w:pPr>
        <w:rPr>
          <w:rFonts w:cstheme="minorHAnsi"/>
        </w:rPr>
      </w:pPr>
    </w:p>
    <w:tbl>
      <w:tblPr>
        <w:tblW w:w="9072" w:type="dxa"/>
        <w:tblInd w:w="134" w:type="dxa"/>
        <w:tblCellMar>
          <w:left w:w="0" w:type="dxa"/>
          <w:right w:w="0" w:type="dxa"/>
        </w:tblCellMar>
        <w:tblLook w:val="04A0" w:firstRow="1" w:lastRow="0" w:firstColumn="1" w:lastColumn="0" w:noHBand="0" w:noVBand="1"/>
      </w:tblPr>
      <w:tblGrid>
        <w:gridCol w:w="1686"/>
        <w:gridCol w:w="2283"/>
        <w:gridCol w:w="1559"/>
        <w:gridCol w:w="3544"/>
      </w:tblGrid>
      <w:tr w:rsidR="006A5526" w:rsidRPr="006A5526" w14:paraId="02300257" w14:textId="77777777" w:rsidTr="006A5526">
        <w:trPr>
          <w:trHeight w:val="1250"/>
        </w:trPr>
        <w:tc>
          <w:tcPr>
            <w:tcW w:w="1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8E31BC" w14:textId="77777777" w:rsidR="006A5526" w:rsidRPr="006A5526" w:rsidRDefault="006A5526">
            <w:pPr>
              <w:jc w:val="center"/>
              <w:rPr>
                <w:rFonts w:cstheme="minorHAnsi"/>
                <w:b/>
                <w:bCs/>
                <w:color w:val="000000"/>
                <w:lang w:eastAsia="lv-LV"/>
              </w:rPr>
            </w:pPr>
            <w:r w:rsidRPr="006A5526">
              <w:rPr>
                <w:rFonts w:cstheme="minorHAnsi"/>
                <w:b/>
                <w:bCs/>
                <w:color w:val="000000"/>
                <w:lang w:eastAsia="lv-LV"/>
              </w:rPr>
              <w:t>Manipulācijas kods</w:t>
            </w:r>
          </w:p>
        </w:tc>
        <w:tc>
          <w:tcPr>
            <w:tcW w:w="22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16CE32" w14:textId="77777777" w:rsidR="006A5526" w:rsidRPr="006A5526" w:rsidRDefault="006A5526">
            <w:pPr>
              <w:jc w:val="center"/>
              <w:rPr>
                <w:rFonts w:cstheme="minorHAnsi"/>
                <w:b/>
                <w:bCs/>
                <w:color w:val="000000"/>
                <w:lang w:eastAsia="lv-LV"/>
              </w:rPr>
            </w:pPr>
            <w:r w:rsidRPr="006A5526">
              <w:rPr>
                <w:rFonts w:cstheme="minorHAnsi"/>
                <w:b/>
                <w:bCs/>
                <w:color w:val="000000"/>
                <w:lang w:eastAsia="lv-LV"/>
              </w:rPr>
              <w:t>Manipulācijas nosaukums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F116EE" w14:textId="77777777" w:rsidR="006A5526" w:rsidRPr="006A5526" w:rsidRDefault="006A5526">
            <w:pPr>
              <w:jc w:val="center"/>
              <w:rPr>
                <w:rFonts w:cstheme="minorHAnsi"/>
                <w:b/>
                <w:bCs/>
                <w:color w:val="000000"/>
                <w:lang w:eastAsia="lv-LV"/>
              </w:rPr>
            </w:pPr>
            <w:r w:rsidRPr="006A5526">
              <w:rPr>
                <w:rFonts w:cstheme="minorHAnsi"/>
                <w:b/>
                <w:bCs/>
                <w:color w:val="000000"/>
                <w:lang w:eastAsia="lv-LV"/>
              </w:rPr>
              <w:t>Tarifs, EUR</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0955DD" w14:textId="77777777" w:rsidR="006A5526" w:rsidRPr="006A5526" w:rsidRDefault="006A5526">
            <w:pPr>
              <w:jc w:val="center"/>
              <w:rPr>
                <w:rFonts w:cstheme="minorHAnsi"/>
                <w:b/>
                <w:bCs/>
                <w:color w:val="000000"/>
                <w:lang w:eastAsia="lv-LV"/>
              </w:rPr>
            </w:pPr>
            <w:r w:rsidRPr="006A5526">
              <w:rPr>
                <w:rFonts w:cstheme="minorHAnsi"/>
                <w:b/>
                <w:bCs/>
                <w:color w:val="000000"/>
                <w:lang w:eastAsia="lv-LV"/>
              </w:rPr>
              <w:t>Apmaksas nosacījumi</w:t>
            </w:r>
          </w:p>
        </w:tc>
      </w:tr>
      <w:tr w:rsidR="006A5526" w:rsidRPr="006A5526" w14:paraId="7DDCE886" w14:textId="77777777" w:rsidTr="006A5526">
        <w:trPr>
          <w:trHeight w:val="690"/>
        </w:trPr>
        <w:tc>
          <w:tcPr>
            <w:tcW w:w="1686"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6D66B3F" w14:textId="77777777" w:rsidR="006A5526" w:rsidRPr="006A5526" w:rsidRDefault="006A5526">
            <w:pPr>
              <w:jc w:val="center"/>
              <w:rPr>
                <w:rFonts w:cstheme="minorHAnsi"/>
                <w:color w:val="000000"/>
                <w:lang w:eastAsia="lv-LV"/>
              </w:rPr>
            </w:pPr>
            <w:r w:rsidRPr="006A5526">
              <w:rPr>
                <w:rFonts w:cstheme="minorHAnsi"/>
                <w:color w:val="000000"/>
                <w:lang w:eastAsia="lv-LV"/>
              </w:rPr>
              <w:t>47268</w:t>
            </w:r>
          </w:p>
        </w:tc>
        <w:tc>
          <w:tcPr>
            <w:tcW w:w="228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DD06BC" w14:textId="77777777" w:rsidR="006A5526" w:rsidRPr="006A5526" w:rsidRDefault="006A5526">
            <w:pPr>
              <w:rPr>
                <w:rFonts w:cstheme="minorHAnsi"/>
                <w:color w:val="000000"/>
                <w:lang w:eastAsia="lv-LV"/>
              </w:rPr>
            </w:pPr>
            <w:r w:rsidRPr="006A5526">
              <w:rPr>
                <w:rFonts w:cstheme="minorHAnsi"/>
                <w:color w:val="000000"/>
                <w:lang w:eastAsia="lv-LV"/>
              </w:rPr>
              <w:t>SARS-CoV-2 (COVID-19) antigēna noteikšana (</w:t>
            </w:r>
            <w:proofErr w:type="spellStart"/>
            <w:r w:rsidRPr="006A5526">
              <w:rPr>
                <w:rFonts w:cstheme="minorHAnsi"/>
                <w:color w:val="000000"/>
                <w:lang w:eastAsia="lv-LV"/>
              </w:rPr>
              <w:t>Ag</w:t>
            </w:r>
            <w:proofErr w:type="spellEnd"/>
            <w:r w:rsidRPr="006A5526">
              <w:rPr>
                <w:rFonts w:cstheme="minorHAnsi"/>
                <w:color w:val="000000"/>
                <w:lang w:eastAsia="lv-LV"/>
              </w:rPr>
              <w:t xml:space="preserve"> </w:t>
            </w:r>
            <w:proofErr w:type="spellStart"/>
            <w:r w:rsidRPr="006A5526">
              <w:rPr>
                <w:rFonts w:cstheme="minorHAnsi"/>
                <w:color w:val="000000"/>
                <w:lang w:eastAsia="lv-LV"/>
              </w:rPr>
              <w:t>eksprestests</w:t>
            </w:r>
            <w:proofErr w:type="spellEnd"/>
            <w:r w:rsidRPr="006A5526">
              <w:rPr>
                <w:rFonts w:cstheme="minorHAnsi"/>
                <w:color w:val="000000"/>
                <w:lang w:eastAsia="lv-LV"/>
              </w:rPr>
              <w:t>) (ar reaģenta komplekta vērtību)</w:t>
            </w:r>
          </w:p>
        </w:tc>
        <w:tc>
          <w:tcPr>
            <w:tcW w:w="155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5849A2" w14:textId="77777777" w:rsidR="006A5526" w:rsidRPr="006A5526" w:rsidRDefault="006A5526">
            <w:pPr>
              <w:jc w:val="center"/>
              <w:rPr>
                <w:rFonts w:cstheme="minorHAnsi"/>
                <w:color w:val="000000"/>
                <w:lang w:eastAsia="lv-LV"/>
              </w:rPr>
            </w:pPr>
            <w:r w:rsidRPr="006A5526">
              <w:rPr>
                <w:rFonts w:cstheme="minorHAnsi"/>
                <w:color w:val="000000"/>
                <w:lang w:eastAsia="lv-LV"/>
              </w:rPr>
              <w:t>4.52</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0D9369" w14:textId="77777777" w:rsidR="006A5526" w:rsidRPr="006A5526" w:rsidRDefault="006A5526">
            <w:pPr>
              <w:rPr>
                <w:rFonts w:cstheme="minorHAnsi"/>
                <w:color w:val="000000"/>
                <w:lang w:eastAsia="lv-LV"/>
              </w:rPr>
            </w:pPr>
            <w:r w:rsidRPr="006A5526">
              <w:rPr>
                <w:rFonts w:cstheme="minorHAnsi"/>
                <w:color w:val="000000"/>
                <w:lang w:eastAsia="lv-LV"/>
              </w:rPr>
              <w:t>Ārstniecības iestādēm un laboratorijām apmaksā atbilstoši testēšanas algoritmam. Manipulāciju apmaksā arī ārstniecības iestādēm, kas nodrošina izbraukuma un masveida vakcināciju.</w:t>
            </w:r>
          </w:p>
        </w:tc>
      </w:tr>
      <w:tr w:rsidR="006A5526" w:rsidRPr="006A5526" w14:paraId="6A42310B" w14:textId="77777777" w:rsidTr="006A5526">
        <w:trPr>
          <w:trHeight w:val="690"/>
        </w:trPr>
        <w:tc>
          <w:tcPr>
            <w:tcW w:w="0" w:type="auto"/>
            <w:vMerge/>
            <w:tcBorders>
              <w:top w:val="nil"/>
              <w:left w:val="single" w:sz="8" w:space="0" w:color="auto"/>
              <w:bottom w:val="single" w:sz="8" w:space="0" w:color="auto"/>
              <w:right w:val="single" w:sz="8" w:space="0" w:color="auto"/>
            </w:tcBorders>
            <w:vAlign w:val="center"/>
            <w:hideMark/>
          </w:tcPr>
          <w:p w14:paraId="1ED16487" w14:textId="77777777" w:rsidR="006A5526" w:rsidRPr="006A5526" w:rsidRDefault="006A5526">
            <w:pPr>
              <w:rPr>
                <w:rFonts w:cstheme="minorHAnsi"/>
                <w:color w:val="000000"/>
                <w:lang w:eastAsia="lv-LV"/>
              </w:rPr>
            </w:pPr>
          </w:p>
        </w:tc>
        <w:tc>
          <w:tcPr>
            <w:tcW w:w="0" w:type="auto"/>
            <w:vMerge/>
            <w:tcBorders>
              <w:top w:val="nil"/>
              <w:left w:val="nil"/>
              <w:bottom w:val="single" w:sz="8" w:space="0" w:color="auto"/>
              <w:right w:val="single" w:sz="8" w:space="0" w:color="auto"/>
            </w:tcBorders>
            <w:vAlign w:val="center"/>
            <w:hideMark/>
          </w:tcPr>
          <w:p w14:paraId="620A4EA8" w14:textId="77777777" w:rsidR="006A5526" w:rsidRPr="006A5526" w:rsidRDefault="006A5526">
            <w:pPr>
              <w:rPr>
                <w:rFonts w:cstheme="minorHAnsi"/>
                <w:color w:val="000000"/>
                <w:lang w:eastAsia="lv-LV"/>
              </w:rPr>
            </w:pPr>
          </w:p>
        </w:tc>
        <w:tc>
          <w:tcPr>
            <w:tcW w:w="0" w:type="auto"/>
            <w:vMerge/>
            <w:tcBorders>
              <w:top w:val="nil"/>
              <w:left w:val="nil"/>
              <w:bottom w:val="single" w:sz="8" w:space="0" w:color="auto"/>
              <w:right w:val="single" w:sz="8" w:space="0" w:color="auto"/>
            </w:tcBorders>
            <w:vAlign w:val="center"/>
            <w:hideMark/>
          </w:tcPr>
          <w:p w14:paraId="4078650A" w14:textId="77777777" w:rsidR="006A5526" w:rsidRPr="006A5526" w:rsidRDefault="006A5526">
            <w:pPr>
              <w:rPr>
                <w:rFonts w:cstheme="minorHAnsi"/>
                <w:color w:val="000000"/>
                <w:lang w:eastAsia="lv-LV"/>
              </w:rPr>
            </w:pP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C8FA96" w14:textId="77777777" w:rsidR="006A5526" w:rsidRPr="006A5526" w:rsidRDefault="006A5526">
            <w:pPr>
              <w:rPr>
                <w:rFonts w:cstheme="minorHAnsi"/>
                <w:color w:val="000000"/>
                <w:lang w:eastAsia="lv-LV"/>
              </w:rPr>
            </w:pPr>
            <w:r w:rsidRPr="006A5526">
              <w:rPr>
                <w:rFonts w:cstheme="minorHAnsi"/>
                <w:color w:val="000000"/>
                <w:lang w:eastAsia="lv-LV"/>
              </w:rPr>
              <w:t>Manipulāciju nenorāda kopā ar 47079 vai 60046, 47060 vai 60044. Manipulācija ar pašreizējiem apmaksas nosacījumiem ir spēkā līdz 30.06.2022. saskaņā ar MK noteikumu Nr.555 243.punktā noteikto.</w:t>
            </w:r>
          </w:p>
        </w:tc>
      </w:tr>
      <w:tr w:rsidR="006A5526" w:rsidRPr="006A5526" w14:paraId="64A81D30" w14:textId="77777777" w:rsidTr="006A5526">
        <w:trPr>
          <w:trHeight w:val="920"/>
        </w:trPr>
        <w:tc>
          <w:tcPr>
            <w:tcW w:w="1686"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8606A10" w14:textId="77777777" w:rsidR="006A5526" w:rsidRPr="006A5526" w:rsidRDefault="006A5526">
            <w:pPr>
              <w:jc w:val="center"/>
              <w:rPr>
                <w:rFonts w:cstheme="minorHAnsi"/>
                <w:color w:val="000000"/>
                <w:lang w:eastAsia="lv-LV"/>
              </w:rPr>
            </w:pPr>
            <w:r w:rsidRPr="006A5526">
              <w:rPr>
                <w:rFonts w:cstheme="minorHAnsi"/>
                <w:color w:val="000000"/>
                <w:lang w:eastAsia="lv-LV"/>
              </w:rPr>
              <w:t>47328</w:t>
            </w:r>
          </w:p>
        </w:tc>
        <w:tc>
          <w:tcPr>
            <w:tcW w:w="228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D18CF9" w14:textId="77777777" w:rsidR="006A5526" w:rsidRPr="006A5526" w:rsidRDefault="006A5526">
            <w:pPr>
              <w:rPr>
                <w:rFonts w:cstheme="minorHAnsi"/>
                <w:color w:val="000000"/>
                <w:lang w:eastAsia="lv-LV"/>
              </w:rPr>
            </w:pPr>
            <w:r w:rsidRPr="006A5526">
              <w:rPr>
                <w:rFonts w:cstheme="minorHAnsi"/>
                <w:color w:val="000000"/>
                <w:lang w:eastAsia="lv-LV"/>
              </w:rPr>
              <w:t>SARS-CoV-2 (COVID-19) antigēna noteikšana (</w:t>
            </w:r>
            <w:proofErr w:type="spellStart"/>
            <w:r w:rsidRPr="006A5526">
              <w:rPr>
                <w:rFonts w:cstheme="minorHAnsi"/>
                <w:color w:val="000000"/>
                <w:lang w:eastAsia="lv-LV"/>
              </w:rPr>
              <w:t>Ag</w:t>
            </w:r>
            <w:proofErr w:type="spellEnd"/>
            <w:r w:rsidRPr="006A5526">
              <w:rPr>
                <w:rFonts w:cstheme="minorHAnsi"/>
                <w:color w:val="000000"/>
                <w:lang w:eastAsia="lv-LV"/>
              </w:rPr>
              <w:t xml:space="preserve"> </w:t>
            </w:r>
            <w:proofErr w:type="spellStart"/>
            <w:r w:rsidRPr="006A5526">
              <w:rPr>
                <w:rFonts w:cstheme="minorHAnsi"/>
                <w:color w:val="000000"/>
                <w:lang w:eastAsia="lv-LV"/>
              </w:rPr>
              <w:t>eksprestests</w:t>
            </w:r>
            <w:proofErr w:type="spellEnd"/>
            <w:r w:rsidRPr="006A5526">
              <w:rPr>
                <w:rFonts w:cstheme="minorHAnsi"/>
                <w:color w:val="000000"/>
                <w:lang w:eastAsia="lv-LV"/>
              </w:rPr>
              <w:t>) (bez reaģenta komplekta vērtības)</w:t>
            </w:r>
          </w:p>
        </w:tc>
        <w:tc>
          <w:tcPr>
            <w:tcW w:w="1559"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31A3043" w14:textId="77777777" w:rsidR="006A5526" w:rsidRPr="006A5526" w:rsidRDefault="006A5526">
            <w:pPr>
              <w:jc w:val="center"/>
              <w:rPr>
                <w:rFonts w:cstheme="minorHAnsi"/>
                <w:color w:val="000000"/>
                <w:lang w:eastAsia="lv-LV"/>
              </w:rPr>
            </w:pPr>
            <w:r w:rsidRPr="006A5526">
              <w:rPr>
                <w:rFonts w:cstheme="minorHAnsi"/>
                <w:color w:val="000000"/>
                <w:lang w:eastAsia="lv-LV"/>
              </w:rPr>
              <w:t>3.83</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BA1AF0" w14:textId="77777777" w:rsidR="006A5526" w:rsidRPr="006A5526" w:rsidRDefault="006A5526">
            <w:pPr>
              <w:rPr>
                <w:rFonts w:cstheme="minorHAnsi"/>
                <w:color w:val="000000"/>
                <w:lang w:eastAsia="lv-LV"/>
              </w:rPr>
            </w:pPr>
            <w:r w:rsidRPr="006A5526">
              <w:rPr>
                <w:rFonts w:cstheme="minorHAnsi"/>
                <w:color w:val="00000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p>
        </w:tc>
      </w:tr>
      <w:tr w:rsidR="006A5526" w:rsidRPr="006A5526" w14:paraId="15457104" w14:textId="77777777" w:rsidTr="006A5526">
        <w:trPr>
          <w:trHeight w:val="460"/>
        </w:trPr>
        <w:tc>
          <w:tcPr>
            <w:tcW w:w="0" w:type="auto"/>
            <w:vMerge/>
            <w:tcBorders>
              <w:top w:val="nil"/>
              <w:left w:val="single" w:sz="8" w:space="0" w:color="auto"/>
              <w:bottom w:val="single" w:sz="8" w:space="0" w:color="auto"/>
              <w:right w:val="single" w:sz="8" w:space="0" w:color="auto"/>
            </w:tcBorders>
            <w:vAlign w:val="center"/>
            <w:hideMark/>
          </w:tcPr>
          <w:p w14:paraId="2074AD88" w14:textId="77777777" w:rsidR="006A5526" w:rsidRPr="006A5526" w:rsidRDefault="006A5526">
            <w:pPr>
              <w:rPr>
                <w:rFonts w:cstheme="minorHAnsi"/>
                <w:color w:val="000000"/>
                <w:lang w:eastAsia="lv-LV"/>
              </w:rPr>
            </w:pPr>
          </w:p>
        </w:tc>
        <w:tc>
          <w:tcPr>
            <w:tcW w:w="0" w:type="auto"/>
            <w:vMerge/>
            <w:tcBorders>
              <w:top w:val="nil"/>
              <w:left w:val="nil"/>
              <w:bottom w:val="single" w:sz="8" w:space="0" w:color="auto"/>
              <w:right w:val="single" w:sz="8" w:space="0" w:color="auto"/>
            </w:tcBorders>
            <w:vAlign w:val="center"/>
            <w:hideMark/>
          </w:tcPr>
          <w:p w14:paraId="3731EDE2" w14:textId="77777777" w:rsidR="006A5526" w:rsidRPr="006A5526" w:rsidRDefault="006A5526">
            <w:pPr>
              <w:rPr>
                <w:rFonts w:cstheme="minorHAnsi"/>
                <w:color w:val="000000"/>
                <w:lang w:eastAsia="lv-LV"/>
              </w:rPr>
            </w:pPr>
          </w:p>
        </w:tc>
        <w:tc>
          <w:tcPr>
            <w:tcW w:w="0" w:type="auto"/>
            <w:vMerge/>
            <w:tcBorders>
              <w:top w:val="nil"/>
              <w:left w:val="nil"/>
              <w:bottom w:val="single" w:sz="8" w:space="0" w:color="auto"/>
              <w:right w:val="single" w:sz="8" w:space="0" w:color="auto"/>
            </w:tcBorders>
            <w:vAlign w:val="center"/>
            <w:hideMark/>
          </w:tcPr>
          <w:p w14:paraId="117FC8C7" w14:textId="77777777" w:rsidR="006A5526" w:rsidRPr="006A5526" w:rsidRDefault="006A5526">
            <w:pPr>
              <w:rPr>
                <w:rFonts w:cstheme="minorHAnsi"/>
                <w:color w:val="000000"/>
                <w:lang w:eastAsia="lv-LV"/>
              </w:rPr>
            </w:pP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462D51" w14:textId="77777777" w:rsidR="006A5526" w:rsidRPr="006A5526" w:rsidRDefault="006A5526">
            <w:pPr>
              <w:rPr>
                <w:rFonts w:cstheme="minorHAnsi"/>
                <w:color w:val="000000"/>
                <w:lang w:eastAsia="lv-LV"/>
              </w:rPr>
            </w:pPr>
            <w:r w:rsidRPr="006A5526">
              <w:rPr>
                <w:rFonts w:cstheme="minorHAnsi"/>
                <w:color w:val="000000"/>
                <w:lang w:eastAsia="lv-LV"/>
              </w:rPr>
              <w:t>Manipulācija ar pašreizējiem apmaksas nosacījumiem ir spēkā līdz 30.06.2022. saskaņā ar MK noteikumu Nr.555 243.punktā noteikto.</w:t>
            </w:r>
          </w:p>
        </w:tc>
      </w:tr>
    </w:tbl>
    <w:p w14:paraId="240D7235" w14:textId="77777777" w:rsidR="006A5526" w:rsidRPr="006A5526" w:rsidRDefault="006A5526" w:rsidP="006A5526">
      <w:pPr>
        <w:rPr>
          <w:rFonts w:cstheme="minorHAnsi"/>
        </w:rPr>
      </w:pPr>
    </w:p>
    <w:p w14:paraId="644C7F14" w14:textId="14D65209" w:rsidR="0030758B" w:rsidRPr="006A5526" w:rsidRDefault="00DB15E8" w:rsidP="00F50425">
      <w:pPr>
        <w:pStyle w:val="NormalWeb"/>
        <w:shd w:val="clear" w:color="auto" w:fill="FFFFFF"/>
        <w:jc w:val="both"/>
        <w:rPr>
          <w:rFonts w:asciiTheme="minorHAnsi" w:hAnsiTheme="minorHAnsi" w:cstheme="minorHAnsi"/>
          <w:b/>
          <w:bCs/>
        </w:rPr>
      </w:pPr>
      <w:r>
        <w:object w:dxaOrig="1540" w:dyaOrig="997" w14:anchorId="4242B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7.25pt;height:49.5pt" o:ole="">
            <v:imagedata r:id="rId6" o:title=""/>
          </v:shape>
          <o:OLEObject Type="Embed" ProgID="Word.Document.12" ShapeID="_x0000_i1033" DrawAspect="Icon" ObjectID="_1710576841" r:id="rId7">
            <o:FieldCodes>\s</o:FieldCodes>
          </o:OLEObject>
        </w:object>
      </w:r>
    </w:p>
    <w:sectPr w:rsidR="0030758B" w:rsidRPr="006A55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0"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8"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8"/>
  </w:num>
  <w:num w:numId="5">
    <w:abstractNumId w:val="15"/>
  </w:num>
  <w:num w:numId="6">
    <w:abstractNumId w:val="9"/>
  </w:num>
  <w:num w:numId="7">
    <w:abstractNumId w:val="14"/>
  </w:num>
  <w:num w:numId="8">
    <w:abstractNumId w:val="5"/>
  </w:num>
  <w:num w:numId="9">
    <w:abstractNumId w:val="19"/>
  </w:num>
  <w:num w:numId="10">
    <w:abstractNumId w:val="16"/>
  </w:num>
  <w:num w:numId="11">
    <w:abstractNumId w:val="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4"/>
  </w:num>
  <w:num w:numId="16">
    <w:abstractNumId w:val="6"/>
  </w:num>
  <w:num w:numId="17">
    <w:abstractNumId w:val="13"/>
  </w:num>
  <w:num w:numId="18">
    <w:abstractNumId w:val="8"/>
  </w:num>
  <w:num w:numId="19">
    <w:abstractNumId w:val="11"/>
  </w:num>
  <w:num w:numId="20">
    <w:abstractNumId w:val="7"/>
  </w:num>
  <w:num w:numId="21">
    <w:abstractNumId w:val="10"/>
  </w:num>
  <w:num w:numId="2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94C1B"/>
    <w:rsid w:val="000A20DA"/>
    <w:rsid w:val="000C6255"/>
    <w:rsid w:val="000E0C29"/>
    <w:rsid w:val="001774CD"/>
    <w:rsid w:val="00186157"/>
    <w:rsid w:val="001B1BDA"/>
    <w:rsid w:val="001D61FC"/>
    <w:rsid w:val="001E15BA"/>
    <w:rsid w:val="002C35F4"/>
    <w:rsid w:val="00304706"/>
    <w:rsid w:val="0030758B"/>
    <w:rsid w:val="00327A80"/>
    <w:rsid w:val="00371232"/>
    <w:rsid w:val="003E3B83"/>
    <w:rsid w:val="004078D5"/>
    <w:rsid w:val="00416FA7"/>
    <w:rsid w:val="00446226"/>
    <w:rsid w:val="004824D3"/>
    <w:rsid w:val="0048268D"/>
    <w:rsid w:val="00484F86"/>
    <w:rsid w:val="004A4644"/>
    <w:rsid w:val="004A4E77"/>
    <w:rsid w:val="004E6167"/>
    <w:rsid w:val="00517648"/>
    <w:rsid w:val="00564BE5"/>
    <w:rsid w:val="005A345A"/>
    <w:rsid w:val="0061133A"/>
    <w:rsid w:val="00695B0E"/>
    <w:rsid w:val="006A5526"/>
    <w:rsid w:val="006E1BC3"/>
    <w:rsid w:val="006F0546"/>
    <w:rsid w:val="00712CFD"/>
    <w:rsid w:val="0071736A"/>
    <w:rsid w:val="007C1832"/>
    <w:rsid w:val="008137AF"/>
    <w:rsid w:val="0083168F"/>
    <w:rsid w:val="00886BDC"/>
    <w:rsid w:val="00893247"/>
    <w:rsid w:val="00894A57"/>
    <w:rsid w:val="00923F48"/>
    <w:rsid w:val="00940625"/>
    <w:rsid w:val="009B6E3B"/>
    <w:rsid w:val="009D6094"/>
    <w:rsid w:val="00A12D67"/>
    <w:rsid w:val="00A17177"/>
    <w:rsid w:val="00A50BC8"/>
    <w:rsid w:val="00A80153"/>
    <w:rsid w:val="00A972F0"/>
    <w:rsid w:val="00AE4F9D"/>
    <w:rsid w:val="00AF4662"/>
    <w:rsid w:val="00B246EF"/>
    <w:rsid w:val="00B6351F"/>
    <w:rsid w:val="00BE2CD4"/>
    <w:rsid w:val="00CD20A4"/>
    <w:rsid w:val="00CF744E"/>
    <w:rsid w:val="00D2785A"/>
    <w:rsid w:val="00D32E3D"/>
    <w:rsid w:val="00D75D6C"/>
    <w:rsid w:val="00D8035C"/>
    <w:rsid w:val="00D87A54"/>
    <w:rsid w:val="00DB15E8"/>
    <w:rsid w:val="00DB3AF5"/>
    <w:rsid w:val="00DC017F"/>
    <w:rsid w:val="00E06F16"/>
    <w:rsid w:val="00EA4FB9"/>
    <w:rsid w:val="00EB64EA"/>
    <w:rsid w:val="00F50425"/>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riga@vmnvd.gov.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1207</Words>
  <Characters>688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2022-04-04T08:28:00Z</dcterms:created>
  <dcterms:modified xsi:type="dcterms:W3CDTF">2022-04-04T08:28:00Z</dcterms:modified>
</cp:coreProperties>
</file>