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3877E89" w:rsidR="002C35F4" w:rsidRDefault="00466F0E" w:rsidP="002C35F4">
      <w:pPr>
        <w:spacing w:after="0" w:line="240" w:lineRule="auto"/>
        <w:rPr>
          <w:b/>
          <w:bCs/>
        </w:rPr>
      </w:pPr>
      <w:r>
        <w:rPr>
          <w:b/>
          <w:bCs/>
        </w:rPr>
        <w:t>2</w:t>
      </w:r>
      <w:r w:rsidR="007004A0">
        <w:rPr>
          <w:b/>
          <w:bCs/>
        </w:rPr>
        <w:t>5</w:t>
      </w:r>
      <w:r w:rsidR="00441F04">
        <w:rPr>
          <w:b/>
          <w:bCs/>
        </w:rPr>
        <w:t>.10</w:t>
      </w:r>
      <w:r w:rsidR="00A80153">
        <w:rPr>
          <w:b/>
          <w:bCs/>
        </w:rPr>
        <w:t>.2021</w:t>
      </w:r>
      <w:r w:rsidR="00ED0E12">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3F38B3C" w14:textId="77777777" w:rsidR="007004A0" w:rsidRPr="007004A0" w:rsidRDefault="007004A0" w:rsidP="007004A0">
      <w:pPr>
        <w:jc w:val="both"/>
        <w:rPr>
          <w:rFonts w:ascii="Calibri" w:hAnsi="Calibri" w:cs="Calibri"/>
          <w:color w:val="000000"/>
        </w:rPr>
      </w:pPr>
      <w:r w:rsidRPr="007004A0">
        <w:rPr>
          <w:rFonts w:ascii="Calibri" w:hAnsi="Calibri" w:cs="Calibri"/>
          <w:color w:val="000000"/>
        </w:rPr>
        <w:t>Par vakcināciju pret gripu</w:t>
      </w:r>
    </w:p>
    <w:p w14:paraId="4979EB97" w14:textId="08A9DF68"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BCC579E" w14:textId="77777777" w:rsidR="007004A0" w:rsidRPr="007004A0" w:rsidRDefault="007004A0" w:rsidP="007004A0">
      <w:pPr>
        <w:pStyle w:val="ListParagraph"/>
        <w:ind w:left="0" w:firstLine="720"/>
        <w:jc w:val="both"/>
        <w:rPr>
          <w:color w:val="000000"/>
        </w:rPr>
      </w:pPr>
      <w:r w:rsidRPr="007004A0">
        <w:rPr>
          <w:color w:val="000000"/>
        </w:rPr>
        <w:t xml:space="preserve">Nacionālais veselības dienests (turpmāk – Dienests) aicina Jūs nodrošināt vakcināciju pret gripu pēc iespējas vairākiem Jūsu praksē esošajām riska grupas pacientiem, t. sk. senioriem un bērniem no 6 līdz 23 mēnešiem. </w:t>
      </w:r>
    </w:p>
    <w:p w14:paraId="794A2A2D" w14:textId="77777777" w:rsidR="007004A0" w:rsidRPr="007004A0" w:rsidRDefault="007004A0" w:rsidP="007004A0">
      <w:pPr>
        <w:pStyle w:val="ListParagraph"/>
        <w:ind w:left="0" w:firstLine="720"/>
        <w:jc w:val="both"/>
        <w:rPr>
          <w:color w:val="000000"/>
        </w:rPr>
      </w:pPr>
      <w:r w:rsidRPr="007004A0">
        <w:rPr>
          <w:color w:val="000000"/>
        </w:rPr>
        <w:t xml:space="preserve">Atbilstoši Ministru kabineta 2000. gada 26. septembra noteikumiem Nr. 330 “Vakcinācijas noteikumi” </w:t>
      </w:r>
      <w:r w:rsidRPr="007004A0">
        <w:rPr>
          <w:rStyle w:val="FootnoteReference"/>
          <w:color w:val="000000"/>
        </w:rPr>
        <w:footnoteReference w:customMarkFollows="1" w:id="1"/>
        <w:t>[1]</w:t>
      </w:r>
      <w:r w:rsidRPr="007004A0">
        <w:rPr>
          <w:color w:val="000000"/>
        </w:rPr>
        <w:t>(turpmāk – MK noteikumi), ar vakcīnu pret gripu ir vakcinējami:</w:t>
      </w:r>
      <w:r w:rsidRPr="007004A0">
        <w:rPr>
          <w:rStyle w:val="FootnoteReference"/>
          <w:color w:val="000000"/>
        </w:rPr>
        <w:t xml:space="preserve"> </w:t>
      </w:r>
    </w:p>
    <w:p w14:paraId="2D410220" w14:textId="77777777" w:rsidR="007004A0" w:rsidRPr="007004A0" w:rsidRDefault="007004A0" w:rsidP="007004A0">
      <w:pPr>
        <w:pStyle w:val="ListParagraph"/>
        <w:numPr>
          <w:ilvl w:val="0"/>
          <w:numId w:val="17"/>
        </w:numPr>
        <w:spacing w:after="200" w:line="276" w:lineRule="auto"/>
        <w:contextualSpacing/>
        <w:jc w:val="both"/>
        <w:rPr>
          <w:rFonts w:eastAsia="Times New Roman"/>
          <w:b/>
          <w:bCs/>
          <w:color w:val="000000"/>
        </w:rPr>
      </w:pPr>
      <w:r w:rsidRPr="007004A0">
        <w:rPr>
          <w:rFonts w:eastAsia="Times New Roman"/>
          <w:b/>
          <w:bCs/>
          <w:color w:val="000000"/>
        </w:rPr>
        <w:t>bērni vecumā no 6 līdz 23 mēnešiem (ieskaitot);</w:t>
      </w:r>
    </w:p>
    <w:p w14:paraId="31FB502E" w14:textId="77777777" w:rsidR="007004A0" w:rsidRPr="007004A0" w:rsidRDefault="007004A0" w:rsidP="007004A0">
      <w:pPr>
        <w:pStyle w:val="ListParagraph"/>
        <w:numPr>
          <w:ilvl w:val="0"/>
          <w:numId w:val="17"/>
        </w:numPr>
        <w:spacing w:after="200" w:line="276" w:lineRule="auto"/>
        <w:contextualSpacing/>
        <w:jc w:val="both"/>
        <w:rPr>
          <w:rFonts w:eastAsia="Times New Roman"/>
          <w:color w:val="000000"/>
        </w:rPr>
      </w:pPr>
      <w:r w:rsidRPr="007004A0">
        <w:rPr>
          <w:rFonts w:eastAsia="Times New Roman"/>
          <w:color w:val="000000"/>
        </w:rPr>
        <w:t>grūtnieces;</w:t>
      </w:r>
    </w:p>
    <w:p w14:paraId="113FC44A" w14:textId="77777777" w:rsidR="007004A0" w:rsidRPr="007004A0" w:rsidRDefault="007004A0" w:rsidP="007004A0">
      <w:pPr>
        <w:pStyle w:val="ListParagraph"/>
        <w:numPr>
          <w:ilvl w:val="0"/>
          <w:numId w:val="17"/>
        </w:numPr>
        <w:spacing w:after="200" w:line="276" w:lineRule="auto"/>
        <w:contextualSpacing/>
        <w:jc w:val="both"/>
        <w:rPr>
          <w:rFonts w:eastAsia="Times New Roman"/>
          <w:color w:val="000000"/>
        </w:rPr>
      </w:pPr>
      <w:r w:rsidRPr="007004A0">
        <w:rPr>
          <w:rFonts w:eastAsia="Times New Roman"/>
          <w:color w:val="000000"/>
        </w:rPr>
        <w:t>ārstniecības personas un ārstniecības atbalsta personas, kuras, pildot darba pienākumus, ir tuvā kontaktā ar pacientiem;</w:t>
      </w:r>
    </w:p>
    <w:p w14:paraId="5659FA9C" w14:textId="77777777" w:rsidR="007004A0" w:rsidRPr="007004A0" w:rsidRDefault="007004A0" w:rsidP="007004A0">
      <w:pPr>
        <w:pStyle w:val="ListParagraph"/>
        <w:numPr>
          <w:ilvl w:val="0"/>
          <w:numId w:val="17"/>
        </w:numPr>
        <w:spacing w:after="200" w:line="276" w:lineRule="auto"/>
        <w:contextualSpacing/>
        <w:jc w:val="both"/>
        <w:rPr>
          <w:rFonts w:eastAsia="Times New Roman"/>
        </w:rPr>
      </w:pPr>
      <w:r w:rsidRPr="007004A0">
        <w:rPr>
          <w:rFonts w:eastAsia="Times New Roman"/>
        </w:rPr>
        <w:t>ilgstošas sociālās aprūpes centru darbinieki, kuri, pildot darba pienākumus, ir tuvā kontaktā ar klientiem;</w:t>
      </w:r>
    </w:p>
    <w:p w14:paraId="54F0278F" w14:textId="77777777" w:rsidR="007004A0" w:rsidRPr="007004A0" w:rsidRDefault="007004A0" w:rsidP="007004A0">
      <w:pPr>
        <w:pStyle w:val="ListParagraph"/>
        <w:numPr>
          <w:ilvl w:val="0"/>
          <w:numId w:val="17"/>
        </w:numPr>
        <w:spacing w:after="200" w:line="276" w:lineRule="auto"/>
        <w:contextualSpacing/>
        <w:jc w:val="both"/>
        <w:rPr>
          <w:rFonts w:eastAsia="Times New Roman"/>
        </w:rPr>
      </w:pPr>
      <w:r w:rsidRPr="007004A0">
        <w:rPr>
          <w:rFonts w:eastAsia="Times New Roman"/>
        </w:rPr>
        <w:t>ilgstošas sociālās aprūpes centru klienti;</w:t>
      </w:r>
    </w:p>
    <w:p w14:paraId="1C2A8094" w14:textId="77777777" w:rsidR="007004A0" w:rsidRPr="007004A0" w:rsidRDefault="007004A0" w:rsidP="007004A0">
      <w:pPr>
        <w:pStyle w:val="ListParagraph"/>
        <w:numPr>
          <w:ilvl w:val="0"/>
          <w:numId w:val="17"/>
        </w:numPr>
        <w:spacing w:after="200" w:line="276" w:lineRule="auto"/>
        <w:contextualSpacing/>
        <w:jc w:val="both"/>
        <w:rPr>
          <w:rFonts w:eastAsia="Times New Roman"/>
          <w:b/>
          <w:bCs/>
        </w:rPr>
      </w:pPr>
      <w:r w:rsidRPr="007004A0">
        <w:rPr>
          <w:rFonts w:eastAsia="Times New Roman"/>
          <w:b/>
          <w:bCs/>
        </w:rPr>
        <w:t>personas vecumā no 65 gadiem;</w:t>
      </w:r>
    </w:p>
    <w:p w14:paraId="25936943" w14:textId="77777777" w:rsidR="007004A0" w:rsidRPr="007004A0" w:rsidRDefault="007004A0" w:rsidP="007004A0">
      <w:pPr>
        <w:pStyle w:val="ListParagraph"/>
        <w:numPr>
          <w:ilvl w:val="0"/>
          <w:numId w:val="17"/>
        </w:numPr>
        <w:spacing w:after="200" w:line="276" w:lineRule="auto"/>
        <w:contextualSpacing/>
        <w:jc w:val="both"/>
        <w:rPr>
          <w:rFonts w:eastAsia="Times New Roman"/>
        </w:rPr>
      </w:pPr>
      <w:r w:rsidRPr="007004A0">
        <w:rPr>
          <w:rFonts w:eastAsia="Times New Roman"/>
        </w:rPr>
        <w:t xml:space="preserve">personas, kuras pieder pie šādām veselības riska grupām: </w:t>
      </w:r>
    </w:p>
    <w:p w14:paraId="2339EB5C"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personas ar hroniskām plaušu slimībām;</w:t>
      </w:r>
    </w:p>
    <w:p w14:paraId="0006EEDC"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 xml:space="preserve">personas ar hroniskām </w:t>
      </w:r>
      <w:proofErr w:type="spellStart"/>
      <w:r w:rsidRPr="007004A0">
        <w:rPr>
          <w:rFonts w:eastAsia="Times New Roman"/>
        </w:rPr>
        <w:t>kardiovaskulārām</w:t>
      </w:r>
      <w:proofErr w:type="spellEnd"/>
      <w:r w:rsidRPr="007004A0">
        <w:rPr>
          <w:rFonts w:eastAsia="Times New Roman"/>
        </w:rPr>
        <w:t xml:space="preserve"> slimībām neatkarīgi no to cēloņa;</w:t>
      </w:r>
    </w:p>
    <w:p w14:paraId="25061782"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personas ar hroniskām vielmaiņas slimībām;</w:t>
      </w:r>
    </w:p>
    <w:p w14:paraId="75C0A8CC"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personas ar hroniskām nieru slimībām;</w:t>
      </w:r>
    </w:p>
    <w:p w14:paraId="7B188807"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personas ar imūndeficītu;</w:t>
      </w:r>
    </w:p>
    <w:p w14:paraId="7727605D"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 xml:space="preserve">personas, kuras saņem </w:t>
      </w:r>
      <w:proofErr w:type="spellStart"/>
      <w:r w:rsidRPr="007004A0">
        <w:rPr>
          <w:rFonts w:eastAsia="Times New Roman"/>
        </w:rPr>
        <w:t>imūnsupresīvu</w:t>
      </w:r>
      <w:proofErr w:type="spellEnd"/>
      <w:r w:rsidRPr="007004A0">
        <w:rPr>
          <w:rFonts w:eastAsia="Times New Roman"/>
        </w:rPr>
        <w:t xml:space="preserve"> terapiju;</w:t>
      </w:r>
    </w:p>
    <w:p w14:paraId="3CA8B850" w14:textId="77777777" w:rsidR="007004A0" w:rsidRPr="007004A0" w:rsidRDefault="007004A0" w:rsidP="007004A0">
      <w:pPr>
        <w:pStyle w:val="ListParagraph"/>
        <w:numPr>
          <w:ilvl w:val="1"/>
          <w:numId w:val="17"/>
        </w:numPr>
        <w:spacing w:after="200" w:line="276" w:lineRule="auto"/>
        <w:contextualSpacing/>
        <w:jc w:val="both"/>
        <w:rPr>
          <w:rFonts w:eastAsia="Times New Roman"/>
        </w:rPr>
      </w:pPr>
      <w:r w:rsidRPr="007004A0">
        <w:rPr>
          <w:rFonts w:eastAsia="Times New Roman"/>
        </w:rPr>
        <w:t>personas ar psihiskām slimībām</w:t>
      </w:r>
    </w:p>
    <w:p w14:paraId="2FB39786" w14:textId="77777777" w:rsidR="007004A0" w:rsidRPr="007004A0" w:rsidRDefault="007004A0" w:rsidP="007004A0">
      <w:pPr>
        <w:pStyle w:val="ListParagraph"/>
        <w:ind w:left="0" w:firstLine="720"/>
        <w:jc w:val="both"/>
      </w:pPr>
      <w:r w:rsidRPr="007004A0">
        <w:t xml:space="preserve">Vakcīnas pret gripu pasūtīšana un atskaite par veiktajām vakcinācijas notiek atbilstoši MK noteikumiem, aizpildot 3. pielikuma veidlapu „Iedzīvotāju imunizācijas pārskata un vakcīnu pasūtījuma veidlapa” (12.B. tabula “Vakcīnas atlikums un pasūtījums”). Veidlapa pieejama SPKC tīmekļvietnē </w:t>
      </w:r>
      <w:hyperlink r:id="rId7" w:history="1">
        <w:r w:rsidRPr="007004A0">
          <w:rPr>
            <w:rStyle w:val="Hyperlink"/>
          </w:rPr>
          <w:t>ŠEIT</w:t>
        </w:r>
      </w:hyperlink>
      <w:r w:rsidRPr="007004A0">
        <w:t>.</w:t>
      </w:r>
      <w:r w:rsidRPr="007004A0">
        <w:rPr>
          <w:vertAlign w:val="superscript"/>
        </w:rPr>
        <w:t xml:space="preserve">2 </w:t>
      </w:r>
      <w:r w:rsidRPr="007004A0">
        <w:t xml:space="preserve">Nepieciešamības gadījumā iespējams veikt arī ārpuskārtas vakcīnas pasūtījumu. To iesniedz rakstiski brīvā formā vai izmantojot SPKC sagatavoto veidlapu </w:t>
      </w:r>
      <w:hyperlink r:id="rId8" w:history="1">
        <w:r w:rsidRPr="007004A0">
          <w:rPr>
            <w:rStyle w:val="Hyperlink"/>
          </w:rPr>
          <w:t>“Vakcīnu pieprasījums ārpus kārtējā pasūtījuma”.</w:t>
        </w:r>
      </w:hyperlink>
      <w:r w:rsidRPr="007004A0">
        <w:rPr>
          <w:lang w:val="en-US"/>
        </w:rPr>
        <w:t xml:space="preserve"> </w:t>
      </w:r>
      <w:r w:rsidRPr="007004A0">
        <w:rPr>
          <w:rStyle w:val="FootnoteReference"/>
        </w:rPr>
        <w:footnoteReference w:customMarkFollows="1" w:id="2"/>
        <w:t>[2]</w:t>
      </w:r>
    </w:p>
    <w:p w14:paraId="17C8CDF1" w14:textId="77777777" w:rsidR="007004A0" w:rsidRPr="007004A0" w:rsidRDefault="007004A0" w:rsidP="007004A0">
      <w:pPr>
        <w:ind w:firstLine="720"/>
        <w:jc w:val="both"/>
        <w:rPr>
          <w:rFonts w:ascii="Calibri" w:hAnsi="Calibri" w:cs="Calibri"/>
        </w:rPr>
      </w:pPr>
      <w:r w:rsidRPr="007004A0">
        <w:rPr>
          <w:rFonts w:ascii="Calibri" w:hAnsi="Calibri" w:cs="Calibri"/>
          <w:color w:val="000000"/>
          <w:shd w:val="clear" w:color="auto" w:fill="FFFFFF"/>
        </w:rPr>
        <w:t>Dienests aicina vakcināciju pret gripu veikt jau gripas sezonas sākuma.</w:t>
      </w:r>
    </w:p>
    <w:p w14:paraId="0D915D5D" w14:textId="77777777" w:rsidR="007004A0" w:rsidRPr="007004A0" w:rsidRDefault="007004A0" w:rsidP="007004A0">
      <w:pPr>
        <w:pStyle w:val="ListParagraph"/>
        <w:ind w:left="426"/>
        <w:jc w:val="both"/>
      </w:pPr>
    </w:p>
    <w:p w14:paraId="1CB75EDA" w14:textId="77777777" w:rsidR="007004A0" w:rsidRPr="007004A0" w:rsidRDefault="007004A0" w:rsidP="007004A0">
      <w:pPr>
        <w:pStyle w:val="FootnoteText"/>
        <w:rPr>
          <w:sz w:val="22"/>
          <w:szCs w:val="22"/>
          <w:lang w:val="en-US"/>
        </w:rPr>
      </w:pPr>
      <w:r w:rsidRPr="007004A0">
        <w:rPr>
          <w:rStyle w:val="FootnoteReference"/>
          <w:sz w:val="22"/>
          <w:szCs w:val="22"/>
          <w:lang w:val="en-US"/>
        </w:rPr>
        <w:t>[1]</w:t>
      </w:r>
      <w:r w:rsidRPr="007004A0">
        <w:rPr>
          <w:sz w:val="22"/>
          <w:szCs w:val="22"/>
          <w:lang w:val="en-US"/>
        </w:rPr>
        <w:t xml:space="preserve"> </w:t>
      </w:r>
      <w:r w:rsidRPr="007004A0">
        <w:rPr>
          <w:sz w:val="22"/>
          <w:szCs w:val="22"/>
        </w:rPr>
        <w:t xml:space="preserve">Ministru kabineta 2000. gada 26. septembra noteikumi Nr. 330 “Vakcinācijas noteikumi”: </w:t>
      </w:r>
      <w:hyperlink r:id="rId9" w:history="1">
        <w:r w:rsidRPr="007004A0">
          <w:rPr>
            <w:rStyle w:val="Hyperlink"/>
            <w:sz w:val="22"/>
            <w:szCs w:val="22"/>
            <w:lang w:val="en-US"/>
          </w:rPr>
          <w:t>https://likumi.lv/doc.php?id=11215&amp;from=off</w:t>
        </w:r>
      </w:hyperlink>
      <w:r w:rsidRPr="007004A0">
        <w:rPr>
          <w:sz w:val="22"/>
          <w:szCs w:val="22"/>
          <w:lang w:val="en-US"/>
        </w:rPr>
        <w:t xml:space="preserve"> </w:t>
      </w:r>
    </w:p>
    <w:p w14:paraId="41BE8F29" w14:textId="77777777" w:rsidR="007004A0" w:rsidRPr="007004A0" w:rsidRDefault="007004A0" w:rsidP="007004A0">
      <w:pPr>
        <w:jc w:val="both"/>
        <w:rPr>
          <w:rFonts w:ascii="Calibri" w:hAnsi="Calibri" w:cs="Calibri"/>
        </w:rPr>
      </w:pPr>
      <w:r w:rsidRPr="007004A0">
        <w:rPr>
          <w:rFonts w:ascii="Calibri" w:hAnsi="Calibri" w:cs="Calibri"/>
          <w:vertAlign w:val="superscript"/>
        </w:rPr>
        <w:t>2</w:t>
      </w:r>
      <w:r w:rsidRPr="007004A0">
        <w:rPr>
          <w:rFonts w:ascii="Calibri" w:hAnsi="Calibri" w:cs="Calibri"/>
        </w:rPr>
        <w:t xml:space="preserve"> </w:t>
      </w:r>
      <w:r w:rsidRPr="007004A0">
        <w:rPr>
          <w:rStyle w:val="Strong"/>
          <w:rFonts w:ascii="Calibri" w:hAnsi="Calibri" w:cs="Calibri"/>
          <w:b w:val="0"/>
          <w:bCs w:val="0"/>
          <w:color w:val="333333"/>
          <w:bdr w:val="none" w:sz="0" w:space="0" w:color="auto" w:frame="1"/>
          <w:shd w:val="clear" w:color="auto" w:fill="FFFFFF"/>
        </w:rPr>
        <w:t>Veidlapas vakcinācijas rezultātu uzskaitei un vakcīnu pasūtījumiem</w:t>
      </w:r>
      <w:r w:rsidRPr="007004A0">
        <w:rPr>
          <w:rFonts w:ascii="Calibri" w:hAnsi="Calibri" w:cs="Calibri"/>
          <w:b/>
          <w:bCs/>
        </w:rPr>
        <w:t xml:space="preserve">. </w:t>
      </w:r>
      <w:hyperlink r:id="rId10" w:history="1">
        <w:r w:rsidRPr="007004A0">
          <w:rPr>
            <w:rStyle w:val="Hyperlink"/>
            <w:rFonts w:ascii="Calibri" w:hAnsi="Calibri" w:cs="Calibri"/>
          </w:rPr>
          <w:t>https://spkc.gov.lv/lv/profesionali/infekcijas-slimibas1/par-vakcinaciju</w:t>
        </w:r>
      </w:hyperlink>
    </w:p>
    <w:p w14:paraId="2AB011AE" w14:textId="783CD92B" w:rsidR="00404F32" w:rsidRPr="007004A0" w:rsidRDefault="00404F32" w:rsidP="007004A0">
      <w:pPr>
        <w:rPr>
          <w:rFonts w:ascii="Calibri" w:hAnsi="Calibri" w:cs="Calibri"/>
          <w:b/>
          <w:bCs/>
        </w:rPr>
      </w:pPr>
    </w:p>
    <w:sectPr w:rsidR="00404F32" w:rsidRPr="007004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B148" w14:textId="77777777" w:rsidR="00715D8A" w:rsidRDefault="00715D8A" w:rsidP="007004A0">
      <w:pPr>
        <w:spacing w:after="0" w:line="240" w:lineRule="auto"/>
      </w:pPr>
      <w:r>
        <w:separator/>
      </w:r>
    </w:p>
  </w:endnote>
  <w:endnote w:type="continuationSeparator" w:id="0">
    <w:p w14:paraId="4CB7B3A7" w14:textId="77777777" w:rsidR="00715D8A" w:rsidRDefault="00715D8A"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F211" w14:textId="77777777" w:rsidR="00715D8A" w:rsidRDefault="00715D8A" w:rsidP="007004A0">
      <w:pPr>
        <w:spacing w:after="0" w:line="240" w:lineRule="auto"/>
      </w:pPr>
      <w:r>
        <w:separator/>
      </w:r>
    </w:p>
  </w:footnote>
  <w:footnote w:type="continuationSeparator" w:id="0">
    <w:p w14:paraId="44D0A05F" w14:textId="77777777" w:rsidR="00715D8A" w:rsidRDefault="00715D8A" w:rsidP="007004A0">
      <w:pPr>
        <w:spacing w:after="0" w:line="240" w:lineRule="auto"/>
      </w:pPr>
      <w:r>
        <w:continuationSeparator/>
      </w:r>
    </w:p>
  </w:footnote>
  <w:footnote w:id="1">
    <w:p w14:paraId="4686FA0D" w14:textId="77777777" w:rsidR="007004A0" w:rsidRDefault="007004A0" w:rsidP="007004A0">
      <w:pPr>
        <w:pStyle w:val="FootnoteText"/>
        <w:rPr>
          <w:rFonts w:ascii="Times New Roman" w:hAnsi="Times New Roman" w:cs="Times New Roman"/>
          <w:sz w:val="16"/>
          <w:szCs w:val="16"/>
          <w:lang w:val="en-US"/>
        </w:rPr>
      </w:pPr>
      <w:r>
        <w:rPr>
          <w:rStyle w:val="FootnoteReference"/>
          <w:lang w:val="en-US"/>
        </w:rPr>
        <w:t>[1]</w:t>
      </w:r>
      <w:r>
        <w:rPr>
          <w:lang w:val="en-US"/>
        </w:rPr>
        <w:t xml:space="preserve"> </w:t>
      </w:r>
      <w:r>
        <w:rPr>
          <w:rFonts w:ascii="Times New Roman" w:hAnsi="Times New Roman" w:cs="Times New Roman"/>
          <w:sz w:val="16"/>
          <w:szCs w:val="16"/>
        </w:rPr>
        <w:t xml:space="preserve">Ministru kabineta 2000. gada 26. septembra noteikumi Nr. 330 “Vakcinācijas noteikumi”: </w:t>
      </w:r>
      <w:hyperlink r:id="rId1" w:history="1">
        <w:r>
          <w:rPr>
            <w:rStyle w:val="Hyperlink"/>
            <w:rFonts w:ascii="Times New Roman" w:hAnsi="Times New Roman" w:cs="Times New Roman"/>
            <w:sz w:val="16"/>
            <w:szCs w:val="16"/>
            <w:lang w:val="en-US"/>
          </w:rPr>
          <w:t>https://likumi.lv/doc.php?id=11215&amp;from=off</w:t>
        </w:r>
      </w:hyperlink>
      <w:r>
        <w:rPr>
          <w:rFonts w:ascii="Times New Roman" w:hAnsi="Times New Roman" w:cs="Times New Roman"/>
          <w:sz w:val="16"/>
          <w:szCs w:val="16"/>
          <w:lang w:val="en-US"/>
        </w:rPr>
        <w:t xml:space="preserve"> </w:t>
      </w:r>
    </w:p>
  </w:footnote>
  <w:footnote w:id="2">
    <w:p w14:paraId="43339C9D" w14:textId="77777777" w:rsidR="007004A0" w:rsidRDefault="007004A0" w:rsidP="007004A0">
      <w:pPr>
        <w:pStyle w:val="FootnoteText"/>
        <w:rPr>
          <w:rFonts w:ascii="Times New Roman" w:hAnsi="Times New Roman" w:cs="Times New Roman"/>
          <w:b/>
          <w:bCs/>
          <w:sz w:val="14"/>
          <w:szCs w:val="14"/>
        </w:rPr>
      </w:pPr>
      <w:r>
        <w:rPr>
          <w:rStyle w:val="FootnoteReference"/>
          <w:rFonts w:ascii="Times New Roman" w:hAnsi="Times New Roman" w:cs="Times New Roman"/>
          <w:sz w:val="16"/>
          <w:szCs w:val="16"/>
          <w:lang w:val="en-US"/>
        </w:rPr>
        <w:t>[2]</w:t>
      </w:r>
      <w:r>
        <w:rPr>
          <w:rFonts w:ascii="Times New Roman" w:hAnsi="Times New Roman" w:cs="Times New Roman"/>
          <w:sz w:val="16"/>
          <w:szCs w:val="16"/>
          <w:lang w:val="en-US"/>
        </w:rPr>
        <w:t xml:space="preserve"> </w:t>
      </w:r>
      <w:r>
        <w:rPr>
          <w:rStyle w:val="Strong"/>
          <w:color w:val="333333"/>
          <w:sz w:val="16"/>
          <w:szCs w:val="16"/>
          <w:bdr w:val="none" w:sz="0" w:space="0" w:color="auto" w:frame="1"/>
          <w:shd w:val="clear" w:color="auto" w:fill="FFFFFF"/>
        </w:rPr>
        <w:t>Veidlapas vakcinācijas rezultātu uzskaitei un vakcīnu pasūtījumiem</w:t>
      </w:r>
      <w:r>
        <w:rPr>
          <w:rFonts w:ascii="Times New Roman" w:hAnsi="Times New Roman" w:cs="Times New Roman"/>
          <w:b/>
          <w:bCs/>
          <w:sz w:val="16"/>
          <w:szCs w:val="16"/>
        </w:rPr>
        <w:t xml:space="preserve">. </w:t>
      </w:r>
      <w:hyperlink r:id="rId2" w:history="1">
        <w:r>
          <w:rPr>
            <w:rStyle w:val="Hyperlink"/>
            <w:rFonts w:ascii="Times New Roman" w:hAnsi="Times New Roman" w:cs="Times New Roman"/>
            <w:sz w:val="16"/>
            <w:szCs w:val="16"/>
            <w:lang w:val="en-US"/>
          </w:rPr>
          <w:t>https://spkc.gov.lv/lv/profesionali/infekcijas-slimibas1/par-vakcinaciju</w:t>
        </w:r>
      </w:hyperlink>
      <w:r>
        <w:rPr>
          <w:rFonts w:ascii="Times New Roman" w:hAnsi="Times New Roman" w:cs="Times New Roman"/>
          <w:b/>
          <w:bCs/>
          <w:sz w:val="14"/>
          <w:szCs w:val="1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8"/>
  </w:num>
  <w:num w:numId="6">
    <w:abstractNumId w:val="4"/>
  </w:num>
  <w:num w:numId="7">
    <w:abstractNumId w:val="7"/>
  </w:num>
  <w:num w:numId="8">
    <w:abstractNumId w:val="2"/>
  </w:num>
  <w:num w:numId="9">
    <w:abstractNumId w:val="11"/>
  </w:num>
  <w:num w:numId="10">
    <w:abstractNumId w:val="15"/>
  </w:num>
  <w:num w:numId="11">
    <w:abstractNumId w:val="9"/>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C0711"/>
    <w:rsid w:val="001E784C"/>
    <w:rsid w:val="002C35F4"/>
    <w:rsid w:val="002E1D3D"/>
    <w:rsid w:val="003E3B83"/>
    <w:rsid w:val="00404F32"/>
    <w:rsid w:val="00416FA7"/>
    <w:rsid w:val="00441F04"/>
    <w:rsid w:val="00466F0E"/>
    <w:rsid w:val="004A4E77"/>
    <w:rsid w:val="00517648"/>
    <w:rsid w:val="0067772D"/>
    <w:rsid w:val="006D7E5C"/>
    <w:rsid w:val="006E1BC3"/>
    <w:rsid w:val="006F0546"/>
    <w:rsid w:val="007004A0"/>
    <w:rsid w:val="00715D8A"/>
    <w:rsid w:val="0071736A"/>
    <w:rsid w:val="007C1832"/>
    <w:rsid w:val="00923F48"/>
    <w:rsid w:val="009D6094"/>
    <w:rsid w:val="00A12D67"/>
    <w:rsid w:val="00A80153"/>
    <w:rsid w:val="00A972F0"/>
    <w:rsid w:val="00AE4F9D"/>
    <w:rsid w:val="00AF4662"/>
    <w:rsid w:val="00C6079D"/>
    <w:rsid w:val="00CF744E"/>
    <w:rsid w:val="00EA4FB9"/>
    <w:rsid w:val="00ED0E12"/>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kc.gov.lv/lv/profesionali/infekcijas-slimibas1/par-vakcinaciju" TargetMode="External"/><Relationship Id="rId3" Type="http://schemas.openxmlformats.org/officeDocument/2006/relationships/settings" Target="settings.xml"/><Relationship Id="rId7" Type="http://schemas.openxmlformats.org/officeDocument/2006/relationships/hyperlink" Target="https://spkc.gov.lv/lv/profesionali/infekcijas-slimibas1/par-vakcinacij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pkc.gov.lv/lv/profesionali/infekcijas-slimibas1/par-vakcinaciju" TargetMode="External"/><Relationship Id="rId4" Type="http://schemas.openxmlformats.org/officeDocument/2006/relationships/webSettings" Target="webSettings.xml"/><Relationship Id="rId9" Type="http://schemas.openxmlformats.org/officeDocument/2006/relationships/hyperlink" Target="https://likumi.lv/doc.php?id=11215&amp;from=of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pkc.gov.lv/lv/profesionali/infekcijas-slimibas1/par-vakcinaciju" TargetMode="External"/><Relationship Id="rId1" Type="http://schemas.openxmlformats.org/officeDocument/2006/relationships/hyperlink" Target="https://likumi.lv/doc.php?id=11215&amp;from=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1500</Words>
  <Characters>856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2021-10-26T13:22:00Z</dcterms:created>
  <dcterms:modified xsi:type="dcterms:W3CDTF">2021-10-26T13:23:00Z</dcterms:modified>
</cp:coreProperties>
</file>